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threeDEngrave" w:sz="24"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90"/>
      </w:tblGrid>
      <w:tr w:rsidR="00406B2C">
        <w:tc>
          <w:tcPr>
            <w:tcW w:w="3539" w:type="dxa"/>
            <w:vAlign w:val="center"/>
          </w:tcPr>
          <w:p w:rsidR="00406B2C" w:rsidRDefault="00755A5D">
            <w:pPr>
              <w:jc w:val="center"/>
              <w:rPr>
                <w:rFonts w:cs="Calibri"/>
                <w:sz w:val="22"/>
                <w:szCs w:val="22"/>
              </w:rPr>
            </w:pPr>
            <w:r>
              <w:rPr>
                <w:rFonts w:cs="Calibri"/>
                <w:noProof/>
                <w:sz w:val="22"/>
                <w:szCs w:val="22"/>
                <w:lang w:val="en-US"/>
              </w:rPr>
              <w:drawing>
                <wp:inline distT="0" distB="0" distL="0" distR="0" wp14:anchorId="46FC02F3" wp14:editId="4D09F0EE">
                  <wp:extent cx="1424222" cy="527342"/>
                  <wp:effectExtent l="0" t="0" r="5080" b="635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1424222" cy="527342"/>
                          </a:xfrm>
                          <a:prstGeom prst="rect">
                            <a:avLst/>
                          </a:prstGeom>
                        </pic:spPr>
                      </pic:pic>
                    </a:graphicData>
                  </a:graphic>
                </wp:inline>
              </w:drawing>
            </w:r>
          </w:p>
        </w:tc>
        <w:tc>
          <w:tcPr>
            <w:tcW w:w="6090" w:type="dxa"/>
          </w:tcPr>
          <w:p w:rsidR="00406B2C" w:rsidRDefault="00755A5D">
            <w:pPr>
              <w:jc w:val="right"/>
              <w:rPr>
                <w:rFonts w:eastAsia="Brush Script MT" w:cs="Calibri"/>
                <w:b/>
                <w:bCs/>
                <w:color w:val="1F4E79"/>
                <w:sz w:val="22"/>
                <w:szCs w:val="22"/>
              </w:rPr>
            </w:pPr>
            <w:r>
              <w:rPr>
                <w:rFonts w:eastAsia="Brush Script MT" w:cs="Calibri"/>
                <w:b/>
                <w:bCs/>
                <w:color w:val="1F4E79"/>
                <w:sz w:val="22"/>
                <w:szCs w:val="22"/>
              </w:rPr>
              <w:t>Journal of Islamic Economic Development</w:t>
            </w:r>
          </w:p>
          <w:p w:rsidR="00406B2C" w:rsidRDefault="00C420C4">
            <w:pPr>
              <w:jc w:val="right"/>
              <w:rPr>
                <w:rFonts w:eastAsia="Brush Script MT" w:cs="Calibri"/>
                <w:sz w:val="22"/>
                <w:szCs w:val="22"/>
              </w:rPr>
            </w:pPr>
            <w:r>
              <w:rPr>
                <w:rFonts w:eastAsia="Brush Script MT" w:cs="Calibri"/>
                <w:sz w:val="22"/>
                <w:szCs w:val="22"/>
              </w:rPr>
              <w:t>Vol. 2</w:t>
            </w:r>
            <w:r w:rsidR="00755A5D">
              <w:rPr>
                <w:rFonts w:eastAsia="Brush Script MT" w:cs="Calibri"/>
                <w:sz w:val="22"/>
                <w:szCs w:val="22"/>
              </w:rPr>
              <w:t xml:space="preserve"> No. 1 </w:t>
            </w:r>
            <w:r>
              <w:rPr>
                <w:rFonts w:eastAsia="Brush Script MT" w:cs="Calibri"/>
                <w:sz w:val="22"/>
                <w:szCs w:val="22"/>
              </w:rPr>
              <w:t>May 2024</w:t>
            </w:r>
          </w:p>
          <w:p w:rsidR="00406B2C" w:rsidRDefault="00755A5D">
            <w:pPr>
              <w:jc w:val="right"/>
              <w:rPr>
                <w:rFonts w:eastAsia="Brush Script MT" w:cs="Calibri"/>
                <w:sz w:val="22"/>
                <w:szCs w:val="22"/>
              </w:rPr>
            </w:pPr>
            <w:r>
              <w:rPr>
                <w:rFonts w:eastAsia="Brush Script MT" w:cs="Calibri"/>
                <w:sz w:val="22"/>
                <w:szCs w:val="22"/>
              </w:rPr>
              <w:t xml:space="preserve">e-ISSN: </w:t>
            </w:r>
            <w:r w:rsidR="001474C1" w:rsidRPr="001474C1">
              <w:rPr>
                <w:rFonts w:eastAsia="Brush Script MT" w:cs="Calibri"/>
                <w:sz w:val="22"/>
                <w:szCs w:val="22"/>
              </w:rPr>
              <w:t>3047-1818</w:t>
            </w:r>
            <w:r>
              <w:rPr>
                <w:rFonts w:eastAsia="Brush Script MT" w:cs="Calibri"/>
                <w:sz w:val="22"/>
                <w:szCs w:val="22"/>
              </w:rPr>
              <w:t xml:space="preserve"> | p-ISSN: </w:t>
            </w:r>
            <w:r w:rsidR="001474C1" w:rsidRPr="001474C1">
              <w:rPr>
                <w:rFonts w:eastAsia="Brush Script MT" w:cs="Calibri"/>
                <w:sz w:val="22"/>
                <w:szCs w:val="22"/>
              </w:rPr>
              <w:t>3062-9136</w:t>
            </w:r>
          </w:p>
          <w:p w:rsidR="00406B2C" w:rsidRDefault="00755A5D">
            <w:pPr>
              <w:jc w:val="right"/>
              <w:rPr>
                <w:rFonts w:cs="Calibri"/>
                <w:sz w:val="22"/>
                <w:szCs w:val="22"/>
              </w:rPr>
            </w:pPr>
            <w:r>
              <w:rPr>
                <w:rFonts w:eastAsia="Brush Script MT" w:cs="Calibri"/>
                <w:sz w:val="22"/>
                <w:szCs w:val="22"/>
              </w:rPr>
              <w:t>https://https://jied.staiku.ac.id/</w:t>
            </w:r>
          </w:p>
        </w:tc>
      </w:tr>
    </w:tbl>
    <w:p w:rsidR="00406B2C" w:rsidRDefault="00406B2C">
      <w:pPr>
        <w:rPr>
          <w:rFonts w:cs="Calibri"/>
          <w:sz w:val="22"/>
          <w:szCs w:val="22"/>
        </w:rPr>
      </w:pPr>
    </w:p>
    <w:p w:rsidR="00406B2C" w:rsidRDefault="00520291">
      <w:pPr>
        <w:jc w:val="center"/>
        <w:rPr>
          <w:rFonts w:cs="Calibri"/>
          <w:b/>
          <w:bCs/>
        </w:rPr>
      </w:pPr>
      <w:r w:rsidRPr="00520291">
        <w:rPr>
          <w:rFonts w:ascii="Times New Roman" w:hAnsi="Times New Roman" w:cs="Times New Roman"/>
          <w:b/>
          <w:bCs/>
          <w:lang w:val="en-GB"/>
        </w:rPr>
        <w:t>Analysis of the Benefits and Risks of Using Sharia Fintech in Sharia Investment</w:t>
      </w:r>
    </w:p>
    <w:p w:rsidR="001474C1" w:rsidRDefault="001474C1" w:rsidP="001474C1">
      <w:pPr>
        <w:jc w:val="center"/>
        <w:rPr>
          <w:rFonts w:cs="Calibri"/>
          <w:sz w:val="22"/>
          <w:szCs w:val="22"/>
        </w:rPr>
      </w:pPr>
      <w:r>
        <w:rPr>
          <w:rFonts w:cs="Calibri"/>
          <w:sz w:val="22"/>
          <w:szCs w:val="22"/>
          <w:lang w:val="en-US"/>
        </w:rPr>
        <w:t>FITRI</w:t>
      </w:r>
    </w:p>
    <w:p w:rsidR="001474C1" w:rsidRDefault="001474C1" w:rsidP="001474C1">
      <w:pPr>
        <w:jc w:val="center"/>
        <w:rPr>
          <w:rFonts w:cs="Calibri"/>
          <w:sz w:val="22"/>
          <w:szCs w:val="22"/>
        </w:rPr>
      </w:pPr>
      <w:r>
        <w:rPr>
          <w:rFonts w:cs="Calibri"/>
          <w:sz w:val="22"/>
          <w:szCs w:val="22"/>
        </w:rPr>
        <w:t>Faculty of Economics and Islamic Business, Sharia Economics Study Program</w:t>
      </w:r>
    </w:p>
    <w:p w:rsidR="00406B2C" w:rsidRDefault="001474C1">
      <w:pPr>
        <w:jc w:val="center"/>
        <w:rPr>
          <w:rFonts w:cs="Calibri"/>
          <w:sz w:val="22"/>
          <w:szCs w:val="22"/>
        </w:rPr>
      </w:pPr>
      <w:r>
        <w:rPr>
          <w:rFonts w:cs="Calibri"/>
          <w:sz w:val="22"/>
          <w:szCs w:val="22"/>
        </w:rPr>
        <w:t>Email:</w:t>
      </w:r>
      <w:r>
        <w:rPr>
          <w:rFonts w:cs="Calibri"/>
          <w:sz w:val="22"/>
          <w:szCs w:val="22"/>
          <w:lang w:val="en-US"/>
        </w:rPr>
        <w:t xml:space="preserve"> fitf5167@gmail.com</w:t>
      </w:r>
    </w:p>
    <w:tbl>
      <w:tblPr>
        <w:tblStyle w:val="TableGrid"/>
        <w:tblW w:w="9629" w:type="dxa"/>
        <w:tblInd w:w="175" w:type="dxa"/>
        <w:tblBorders>
          <w:top w:val="threeDEngrave" w:sz="24" w:space="0" w:color="auto"/>
          <w:left w:val="none" w:sz="0" w:space="0" w:color="auto"/>
          <w:bottom w:val="threeDEngrave" w:sz="24"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406B2C">
        <w:tc>
          <w:tcPr>
            <w:tcW w:w="9629" w:type="dxa"/>
          </w:tcPr>
          <w:p w:rsidR="00406B2C" w:rsidRDefault="00406B2C">
            <w:pPr>
              <w:jc w:val="center"/>
              <w:rPr>
                <w:rFonts w:cs="Calibri"/>
                <w:b/>
                <w:bCs/>
                <w:color w:val="1F4E79"/>
                <w:sz w:val="22"/>
                <w:szCs w:val="22"/>
              </w:rPr>
            </w:pPr>
          </w:p>
          <w:p w:rsidR="00406B2C" w:rsidRDefault="00755A5D">
            <w:pPr>
              <w:jc w:val="center"/>
              <w:rPr>
                <w:rFonts w:cs="Calibri"/>
                <w:b/>
                <w:bCs/>
                <w:color w:val="1F4E79"/>
                <w:sz w:val="22"/>
                <w:szCs w:val="22"/>
              </w:rPr>
            </w:pPr>
            <w:r>
              <w:rPr>
                <w:rFonts w:cs="Calibri"/>
                <w:b/>
                <w:bCs/>
                <w:color w:val="1F4E79"/>
                <w:sz w:val="22"/>
                <w:szCs w:val="22"/>
              </w:rPr>
              <w:t>Abstract</w:t>
            </w:r>
          </w:p>
          <w:p w:rsidR="00520291" w:rsidRDefault="003062A1" w:rsidP="003062A1">
            <w:pPr>
              <w:jc w:val="both"/>
            </w:pPr>
            <w:r w:rsidRPr="003062A1">
              <w:t>This study examines the role of Sharia fintech in Sharia-based investments, offering ease of access, operational efficiency, and information transparency. The background of this research is the rapid development of Sharia fintech, which creates opportunities for digital-based investment without violating Sharia principles. The research employs a qualitative approach with literature studies to analyze the concepts, benefits, and risks of Sharia fintech usage. The findings reveal that Sharia fintech provides advantages such as portfolio diversification, ease of investment, and product innovation. However, it also poses risks, including technological, regulatory, and market uncertainty risks, which require effective risk management. This study concludes that Sharia fintech usage in Sharia investments provides modern financial solutions that align with Sharia principles while minimizing r</w:t>
            </w:r>
            <w:r>
              <w:t>isks through proper management.</w:t>
            </w:r>
            <w:r w:rsidR="00520291">
              <w:t xml:space="preserve"> </w:t>
            </w:r>
          </w:p>
          <w:p w:rsidR="00520291" w:rsidRDefault="00520291">
            <w:pPr>
              <w:jc w:val="both"/>
            </w:pPr>
          </w:p>
          <w:p w:rsidR="00406B2C" w:rsidRDefault="00520291">
            <w:pPr>
              <w:jc w:val="both"/>
              <w:rPr>
                <w:rFonts w:cs="Calibri"/>
                <w:sz w:val="22"/>
                <w:szCs w:val="22"/>
              </w:rPr>
            </w:pPr>
            <w:r>
              <w:t xml:space="preserve">Keywords: sharia investment, </w:t>
            </w:r>
            <w:r w:rsidR="00356354">
              <w:t xml:space="preserve">fintech, </w:t>
            </w:r>
            <w:r w:rsidR="00356354">
              <w:t>r</w:t>
            </w:r>
            <w:r w:rsidR="00356354">
              <w:t>isk management, Islamic finance.</w:t>
            </w:r>
          </w:p>
        </w:tc>
      </w:tr>
    </w:tbl>
    <w:p w:rsidR="00160070" w:rsidRDefault="00160070">
      <w:pPr>
        <w:spacing w:after="160" w:line="259" w:lineRule="auto"/>
        <w:jc w:val="both"/>
        <w:rPr>
          <w:rFonts w:asciiTheme="minorHAnsi" w:hAnsiTheme="minorHAnsi" w:cstheme="minorHAnsi"/>
          <w:b/>
          <w:bCs/>
          <w:lang w:val="en-GB"/>
        </w:rPr>
      </w:pPr>
    </w:p>
    <w:p w:rsidR="00520291" w:rsidRPr="00160070" w:rsidRDefault="00520291">
      <w:pPr>
        <w:spacing w:after="160" w:line="259" w:lineRule="auto"/>
        <w:jc w:val="both"/>
        <w:rPr>
          <w:rFonts w:asciiTheme="minorHAnsi" w:hAnsiTheme="minorHAnsi" w:cstheme="minorHAnsi"/>
          <w:b/>
          <w:bCs/>
          <w:lang w:val="en-GB"/>
        </w:rPr>
      </w:pPr>
      <w:r w:rsidRPr="005C1900">
        <w:rPr>
          <w:rFonts w:asciiTheme="minorHAnsi" w:hAnsiTheme="minorHAnsi" w:cstheme="minorHAnsi"/>
          <w:b/>
          <w:bCs/>
          <w:color w:val="4F81BD" w:themeColor="accent1"/>
          <w:lang w:val="en-GB"/>
        </w:rPr>
        <w:t>Background of the Problem</w:t>
      </w:r>
    </w:p>
    <w:p w:rsidR="00520291" w:rsidRPr="00160070" w:rsidRDefault="00520291" w:rsidP="00160070">
      <w:pPr>
        <w:spacing w:after="160" w:line="259" w:lineRule="auto"/>
        <w:ind w:firstLine="720"/>
        <w:jc w:val="both"/>
        <w:rPr>
          <w:rFonts w:asciiTheme="minorHAnsi" w:hAnsiTheme="minorHAnsi" w:cstheme="minorHAnsi"/>
        </w:rPr>
      </w:pPr>
      <w:r w:rsidRPr="00160070">
        <w:rPr>
          <w:rFonts w:asciiTheme="minorHAnsi" w:hAnsiTheme="minorHAnsi" w:cstheme="minorHAnsi"/>
        </w:rPr>
        <w:t xml:space="preserve">Sharia-based Fintech is an alternative as a solution to ease the transaction process and Fintech as a software-based business provides modern financial services. Which essentially has the potential to provide solutions to urgent needs, presenting new models in transactions in payments, lending, and investment. Sharia does not prohibit the innovation of financial practices as long as they comply with the principles of the prohibition of sharia concepts such as usury, mayshir, gharar, dharar, tadlhis and so on. Currently, many financial service providers are moving to manifest technology in the management and distribution of funds via certain accounts, fintech has emerged as a new culture to provide financial solutions today. Based on data available at the Financial Services Authority (OJK), that Fintech companies in Indonesia are divided into several sectors, namely: 1) financial planning, 2) lending, 3) crowdfunding, 4) aggregator, 5) payment, and 6) other fintech. According to Hadad, Fintech companies in Indonesia are dominated by the payment sector at 42.22%, the lending sector at 17.78%, the aggregator sector at 12.59%, the financial planning sector at 8.15%, the crowdfunding sector at 8.15%, and other fintech sectors at 11.11%. </w:t>
      </w:r>
    </w:p>
    <w:p w:rsidR="00406B2C" w:rsidRPr="00160070" w:rsidRDefault="00520291" w:rsidP="00160070">
      <w:pPr>
        <w:spacing w:after="160" w:line="259" w:lineRule="auto"/>
        <w:ind w:firstLine="720"/>
        <w:jc w:val="both"/>
        <w:rPr>
          <w:rFonts w:asciiTheme="minorHAnsi" w:hAnsiTheme="minorHAnsi" w:cstheme="minorHAnsi"/>
          <w:lang w:val="en-US"/>
        </w:rPr>
      </w:pPr>
      <w:r w:rsidRPr="00160070">
        <w:rPr>
          <w:rFonts w:asciiTheme="minorHAnsi" w:hAnsiTheme="minorHAnsi" w:cstheme="minorHAnsi"/>
        </w:rPr>
        <w:t>The concept of Financial technology (Fintech) in the context of Islamic finance represents a blend of modern financial technology (Fintech) and financial principles in accordance with Islamic law</w:t>
      </w:r>
      <w:r w:rsidRPr="00160070">
        <w:rPr>
          <w:rFonts w:asciiTheme="minorHAnsi" w:hAnsiTheme="minorHAnsi" w:cstheme="minorHAnsi"/>
          <w:lang w:val="en-US"/>
        </w:rPr>
        <w:t xml:space="preserve"> (Dewi, 2022). </w:t>
      </w:r>
      <w:r w:rsidR="00B97AAC" w:rsidRPr="00160070">
        <w:rPr>
          <w:rFonts w:asciiTheme="minorHAnsi" w:hAnsiTheme="minorHAnsi" w:cstheme="minorHAnsi"/>
        </w:rPr>
        <w:t>The existence of Fintech in this realm is an aim to bring about a significant transformation in the provision of financial services that meet sharia requirements</w:t>
      </w:r>
      <w:r w:rsidR="004522FC">
        <w:rPr>
          <w:rFonts w:asciiTheme="minorHAnsi" w:hAnsiTheme="minorHAnsi" w:cstheme="minorHAnsi"/>
        </w:rPr>
        <w:t xml:space="preserve"> </w:t>
      </w:r>
      <w:r w:rsidR="004522FC">
        <w:rPr>
          <w:rFonts w:asciiTheme="minorHAnsi" w:hAnsiTheme="minorHAnsi" w:cstheme="minorHAnsi"/>
        </w:rPr>
        <w:fldChar w:fldCharType="begin" w:fldLock="1"/>
      </w:r>
      <w:r w:rsidR="006601A1">
        <w:rPr>
          <w:rFonts w:asciiTheme="minorHAnsi" w:hAnsiTheme="minorHAnsi" w:cstheme="minorHAnsi"/>
        </w:rPr>
        <w:instrText>ADDIN CSL_CITATION {"citationItems":[{"id":"ITEM-1","itemData":{"ISSN":"2788-5550","author":[{"dropping-particle":"","family":"Ajouz","given":"Mousa","non-dropping-particle":"","parse-names":false,"suffix":""},{"dropping-particle":"","family":"Abuamria","given":"Fayez","non-dropping-particle":"","parse-names":false,"suffix":""}],"container-title":"Al Qasimia University Journal of Islamic Economics","id":"ITEM-1","issue":"1","issued":{"date-parts":[["2023"]]},"page":"115-148","title":"Unveiling the potential of the Islamic fintech ecosystem in emerging markets","type":"article-journal","volume":"3"},"uris":["http://www.mendeley.com/documents/?uuid=71357159-fff2-4320-8f5a-f16958e2a04c"]}],"mendeley":{"formattedCitation":"(Ajouz &amp; Abuamria, 2023)","plainTextFormattedCitation":"(Ajouz &amp; Abuamria, 2023)","previouslyFormattedCitation":"(Ajouz &amp; Abuamria, 2023)"},"properties":{"noteIndex":0},"schema":"https://github.com/citation-style-language/schema/raw/master/csl-citation.json"}</w:instrText>
      </w:r>
      <w:r w:rsidR="004522FC">
        <w:rPr>
          <w:rFonts w:asciiTheme="minorHAnsi" w:hAnsiTheme="minorHAnsi" w:cstheme="minorHAnsi"/>
        </w:rPr>
        <w:fldChar w:fldCharType="separate"/>
      </w:r>
      <w:r w:rsidR="004522FC" w:rsidRPr="004522FC">
        <w:rPr>
          <w:rFonts w:asciiTheme="minorHAnsi" w:hAnsiTheme="minorHAnsi" w:cstheme="minorHAnsi"/>
          <w:noProof/>
        </w:rPr>
        <w:t>(Ajouz &amp; Abuamria, 2023)</w:t>
      </w:r>
      <w:r w:rsidR="004522FC">
        <w:rPr>
          <w:rFonts w:asciiTheme="minorHAnsi" w:hAnsiTheme="minorHAnsi" w:cstheme="minorHAnsi"/>
        </w:rPr>
        <w:fldChar w:fldCharType="end"/>
      </w:r>
      <w:r w:rsidR="00B97AAC" w:rsidRPr="00160070">
        <w:rPr>
          <w:rFonts w:asciiTheme="minorHAnsi" w:hAnsiTheme="minorHAnsi" w:cstheme="minorHAnsi"/>
        </w:rPr>
        <w:t xml:space="preserve">. Fintech investment or peer to peer lending is now the choice of many people who want to invest their money in the hope of getting huge profits. Indeed, in recent years, since internet technology has become more sophisticated, Financial Technology (fintech) has emerged </w:t>
      </w:r>
      <w:r w:rsidR="00B97AAC" w:rsidRPr="00160070">
        <w:rPr>
          <w:rFonts w:asciiTheme="minorHAnsi" w:hAnsiTheme="minorHAnsi" w:cstheme="minorHAnsi"/>
        </w:rPr>
        <w:lastRenderedPageBreak/>
        <w:t>and developed. All forms of financial transactions, ranging from payments, saving, and investing can be done digitally. Fintech greatly enables the development of financial products and services that comply with sharia principles. This includes interest-free savings, investment, and financing products, as well as investments in sharia-compliant assets</w:t>
      </w:r>
      <w:r w:rsidRPr="00160070">
        <w:rPr>
          <w:rFonts w:asciiTheme="minorHAnsi" w:hAnsiTheme="minorHAnsi" w:cstheme="minorHAnsi"/>
          <w:lang w:val="en-US"/>
        </w:rPr>
        <w:t xml:space="preserve"> </w:t>
      </w:r>
      <w:r w:rsidR="006601A1">
        <w:rPr>
          <w:rFonts w:asciiTheme="minorHAnsi" w:hAnsiTheme="minorHAnsi" w:cstheme="minorHAnsi"/>
          <w:lang w:val="en-US"/>
        </w:rPr>
        <w:fldChar w:fldCharType="begin" w:fldLock="1"/>
      </w:r>
      <w:r w:rsidR="005F1304">
        <w:rPr>
          <w:rFonts w:asciiTheme="minorHAnsi" w:hAnsiTheme="minorHAnsi" w:cstheme="minorHAnsi"/>
          <w:lang w:val="en-US"/>
        </w:rPr>
        <w:instrText>ADDIN CSL_CITATION {"citationItems":[{"id":"ITEM-1","itemData":{"ISSN":"2985-9255","author":[{"dropping-particle":"","family":"Bashir","given":"Fischer Mirakhor","non-dropping-particle":"","parse-names":false,"suffix":""},{"dropping-particle":"","family":"Gorton","given":"Cohen","non-dropping-particle":"","parse-names":false,"suffix":""}],"container-title":"Indonesia Accounting Research Journal","id":"ITEM-1","issue":"1","issued":{"date-parts":[["2023"]]},"page":"51-67","title":"Comparative Analysis of Financial Performance: Conventional Banks vs. Sharia Banks","type":"article-journal","volume":"11"},"uris":["http://www.mendeley.com/documents/?uuid=b6508b27-db9a-4e0f-9e0f-7c8c8ccd416a"]}],"mendeley":{"formattedCitation":"(Bashir &amp; Gorton, 2023)","plainTextFormattedCitation":"(Bashir &amp; Gorton, 2023)","previouslyFormattedCitation":"(Bashir &amp; Gorton, 2023)"},"properties":{"noteIndex":0},"schema":"https://github.com/citation-style-language/schema/raw/master/csl-citation.json"}</w:instrText>
      </w:r>
      <w:r w:rsidR="006601A1">
        <w:rPr>
          <w:rFonts w:asciiTheme="minorHAnsi" w:hAnsiTheme="minorHAnsi" w:cstheme="minorHAnsi"/>
          <w:lang w:val="en-US"/>
        </w:rPr>
        <w:fldChar w:fldCharType="separate"/>
      </w:r>
      <w:r w:rsidR="006601A1" w:rsidRPr="006601A1">
        <w:rPr>
          <w:rFonts w:asciiTheme="minorHAnsi" w:hAnsiTheme="minorHAnsi" w:cstheme="minorHAnsi"/>
          <w:noProof/>
          <w:lang w:val="en-US"/>
        </w:rPr>
        <w:t>(Bashir &amp; Gorton, 2023)</w:t>
      </w:r>
      <w:r w:rsidR="006601A1">
        <w:rPr>
          <w:rFonts w:asciiTheme="minorHAnsi" w:hAnsiTheme="minorHAnsi" w:cstheme="minorHAnsi"/>
          <w:lang w:val="en-US"/>
        </w:rPr>
        <w:fldChar w:fldCharType="end"/>
      </w:r>
      <w:r w:rsidR="006601A1">
        <w:rPr>
          <w:rFonts w:asciiTheme="minorHAnsi" w:hAnsiTheme="minorHAnsi" w:cstheme="minorHAnsi"/>
          <w:lang w:val="en-US"/>
        </w:rPr>
        <w:t>.</w:t>
      </w:r>
    </w:p>
    <w:p w:rsidR="00406B2C" w:rsidRPr="00160070" w:rsidRDefault="00B97AAC" w:rsidP="00160070">
      <w:pPr>
        <w:spacing w:after="160" w:line="259" w:lineRule="auto"/>
        <w:ind w:firstLine="720"/>
        <w:jc w:val="both"/>
        <w:rPr>
          <w:rFonts w:asciiTheme="minorHAnsi" w:hAnsiTheme="minorHAnsi" w:cstheme="minorHAnsi"/>
          <w:b/>
          <w:bCs/>
          <w:color w:val="1F4E79"/>
          <w:lang w:val="id-ID"/>
        </w:rPr>
      </w:pPr>
      <w:r w:rsidRPr="00160070">
        <w:rPr>
          <w:rFonts w:asciiTheme="minorHAnsi" w:hAnsiTheme="minorHAnsi" w:cstheme="minorHAnsi"/>
        </w:rPr>
        <w:t>Investment is the activity of investing capital into an object, institution, or a party. The capital placed can be in the form of money or other valuable assets</w:t>
      </w:r>
      <w:r w:rsidR="005F1304">
        <w:rPr>
          <w:rFonts w:asciiTheme="minorHAnsi" w:hAnsiTheme="minorHAnsi" w:cstheme="minorHAnsi"/>
        </w:rPr>
        <w:t xml:space="preserve"> </w:t>
      </w:r>
      <w:r w:rsidR="005F1304">
        <w:rPr>
          <w:rFonts w:asciiTheme="minorHAnsi" w:hAnsiTheme="minorHAnsi" w:cstheme="minorHAnsi"/>
        </w:rPr>
        <w:fldChar w:fldCharType="begin" w:fldLock="1"/>
      </w:r>
      <w:r w:rsidR="00D0225B">
        <w:rPr>
          <w:rFonts w:asciiTheme="minorHAnsi" w:hAnsiTheme="minorHAnsi" w:cstheme="minorHAnsi"/>
        </w:rPr>
        <w:instrText>ADDIN CSL_CITATION {"citationItems":[{"id":"ITEM-1","itemData":{"author":[{"dropping-particle":"","family":"Khidirov","given":"N G","non-dropping-particle":"","parse-names":false,"suffix":""}],"container-title":"Journal of Economics, Finance and Management Studies","id":"ITEM-1","issue":"05","issued":{"date-parts":[["2021"]]},"page":"475-482","title":"Mechanisms and methods of financing enterprise investment projects","type":"article-journal","volume":"4"},"uris":["http://www.mendeley.com/documents/?uuid=53eb44da-2d41-480c-857e-9ac897dc6706"]}],"mendeley":{"formattedCitation":"(Khidirov, 2021)","plainTextFormattedCitation":"(Khidirov, 2021)","previouslyFormattedCitation":"(Khidirov, 2021)"},"properties":{"noteIndex":0},"schema":"https://github.com/citation-style-language/schema/raw/master/csl-citation.json"}</w:instrText>
      </w:r>
      <w:r w:rsidR="005F1304">
        <w:rPr>
          <w:rFonts w:asciiTheme="minorHAnsi" w:hAnsiTheme="minorHAnsi" w:cstheme="minorHAnsi"/>
        </w:rPr>
        <w:fldChar w:fldCharType="separate"/>
      </w:r>
      <w:r w:rsidR="005F1304" w:rsidRPr="005F1304">
        <w:rPr>
          <w:rFonts w:asciiTheme="minorHAnsi" w:hAnsiTheme="minorHAnsi" w:cstheme="minorHAnsi"/>
          <w:noProof/>
        </w:rPr>
        <w:t>(Khidirov, 2021)</w:t>
      </w:r>
      <w:r w:rsidR="005F1304">
        <w:rPr>
          <w:rFonts w:asciiTheme="minorHAnsi" w:hAnsiTheme="minorHAnsi" w:cstheme="minorHAnsi"/>
        </w:rPr>
        <w:fldChar w:fldCharType="end"/>
      </w:r>
      <w:r w:rsidRPr="00160070">
        <w:rPr>
          <w:rFonts w:asciiTheme="minorHAnsi" w:hAnsiTheme="minorHAnsi" w:cstheme="minorHAnsi"/>
        </w:rPr>
        <w:t>. generally, investment funds will be managed by a third party which is an agency or institution. The profits will be distributed to investors as a return in accordance with the agreement between the two parties</w:t>
      </w:r>
      <w:r w:rsidR="00B707B4">
        <w:rPr>
          <w:rFonts w:asciiTheme="minorHAnsi" w:hAnsiTheme="minorHAnsi" w:cstheme="minorHAnsi"/>
        </w:rPr>
        <w:t xml:space="preserve"> </w:t>
      </w:r>
      <w:r w:rsidR="00B707B4">
        <w:rPr>
          <w:rFonts w:asciiTheme="minorHAnsi" w:hAnsiTheme="minorHAnsi" w:cstheme="minorHAnsi"/>
        </w:rPr>
        <w:fldChar w:fldCharType="begin" w:fldLock="1"/>
      </w:r>
      <w:r w:rsidR="009F5045">
        <w:rPr>
          <w:rFonts w:asciiTheme="minorHAnsi" w:hAnsiTheme="minorHAnsi" w:cstheme="minorHAnsi"/>
        </w:rPr>
        <w:instrText>ADDIN CSL_CITATION {"citationItems":[{"id":"ITEM-1","itemData":{"ISSN":"1755-4179","author":[{"dropping-particle":"","family":"Ishak","given":"Muhammad Shahrul Ifwat","non-dropping-particle":"","parse-names":false,"suffix":""},{"dropping-particle":"","family":"Rahman","given":"Md Habibur","non-dropping-particle":"","parse-names":false,"suffix":""}],"container-title":"Qualitative Research in Financial Markets","id":"ITEM-1","issue":"2","issued":{"date-parts":[["2021"]]},"page":"183-198","publisher":"Emerald Publishing Limited","title":"Equity-based Islamic crowdfunding in Malaysia: a potential application for mudharabah","type":"article-journal","volume":"13"},"uris":["http://www.mendeley.com/documents/?uuid=07b317eb-b4c2-4e66-8f4b-9c592a2dbb9c"]}],"mendeley":{"formattedCitation":"(Ishak &amp; Rahman, 2021)","plainTextFormattedCitation":"(Ishak &amp; Rahman, 2021)","previouslyFormattedCitation":"(Ishak &amp; Rahman, 2021)"},"properties":{"noteIndex":0},"schema":"https://github.com/citation-style-language/schema/raw/master/csl-citation.json"}</w:instrText>
      </w:r>
      <w:r w:rsidR="00B707B4">
        <w:rPr>
          <w:rFonts w:asciiTheme="minorHAnsi" w:hAnsiTheme="minorHAnsi" w:cstheme="minorHAnsi"/>
        </w:rPr>
        <w:fldChar w:fldCharType="separate"/>
      </w:r>
      <w:r w:rsidR="00B707B4" w:rsidRPr="00B707B4">
        <w:rPr>
          <w:rFonts w:asciiTheme="minorHAnsi" w:hAnsiTheme="minorHAnsi" w:cstheme="minorHAnsi"/>
          <w:noProof/>
        </w:rPr>
        <w:t>(Ishak &amp; Rahman, 2021)</w:t>
      </w:r>
      <w:r w:rsidR="00B707B4">
        <w:rPr>
          <w:rFonts w:asciiTheme="minorHAnsi" w:hAnsiTheme="minorHAnsi" w:cstheme="minorHAnsi"/>
        </w:rPr>
        <w:fldChar w:fldCharType="end"/>
      </w:r>
      <w:r w:rsidRPr="00160070">
        <w:rPr>
          <w:rFonts w:asciiTheme="minorHAnsi" w:hAnsiTheme="minorHAnsi" w:cstheme="minorHAnsi"/>
        </w:rPr>
        <w:t>. A good investor should ideally have met the indicators of financial readiness, such as a financial condition that is not in deficit, the burden of debt installments does not exceed 30% of regular monthly income, and has an emergency fund of at least 30% of the ideal emergency fund target</w:t>
      </w:r>
      <w:r w:rsidRPr="00160070">
        <w:rPr>
          <w:rFonts w:asciiTheme="minorHAnsi" w:hAnsiTheme="minorHAnsi" w:cstheme="minorHAnsi"/>
          <w:lang w:val="id-ID"/>
        </w:rPr>
        <w:t>.</w:t>
      </w:r>
    </w:p>
    <w:p w:rsidR="00406B2C" w:rsidRPr="005C1900" w:rsidRDefault="00755A5D">
      <w:pPr>
        <w:spacing w:after="160" w:line="259" w:lineRule="auto"/>
        <w:jc w:val="both"/>
        <w:rPr>
          <w:rFonts w:asciiTheme="minorHAnsi" w:hAnsiTheme="minorHAnsi" w:cstheme="minorHAnsi"/>
          <w:b/>
          <w:bCs/>
          <w:color w:val="4F81BD" w:themeColor="accent1"/>
        </w:rPr>
      </w:pPr>
      <w:r w:rsidRPr="005C1900">
        <w:rPr>
          <w:rFonts w:asciiTheme="minorHAnsi" w:hAnsiTheme="minorHAnsi" w:cstheme="minorHAnsi"/>
          <w:b/>
          <w:bCs/>
          <w:color w:val="4F81BD" w:themeColor="accent1"/>
          <w:lang w:val="en-US"/>
        </w:rPr>
        <w:t xml:space="preserve">Metodologi </w:t>
      </w:r>
    </w:p>
    <w:p w:rsidR="00406B2C" w:rsidRPr="00160070" w:rsidRDefault="00B97AAC" w:rsidP="00160070">
      <w:pPr>
        <w:spacing w:after="160" w:line="259" w:lineRule="auto"/>
        <w:ind w:firstLine="720"/>
        <w:jc w:val="both"/>
        <w:rPr>
          <w:rFonts w:asciiTheme="minorHAnsi" w:hAnsiTheme="minorHAnsi" w:cstheme="minorHAnsi"/>
          <w:b/>
          <w:bCs/>
          <w:color w:val="1F4E79"/>
        </w:rPr>
      </w:pPr>
      <w:r w:rsidRPr="00160070">
        <w:rPr>
          <w:rFonts w:asciiTheme="minorHAnsi" w:hAnsiTheme="minorHAnsi" w:cstheme="minorHAnsi"/>
        </w:rPr>
        <w:t>The method used in this paper is a critical review of the phenomenon of the rapid development of Fintech in Islamic finance in Indonesia. The phenomenon is juxtaposed with the concept of sharia regulation. The literature used comes from scientific journals. The data collection technique uses the literature study method, in order to explore theories related to the concept and mechanism of financial technology so as not to contradict sharia principles, and to know its development so as to create a correlation between practice and theory based on sharia economic teachings. This paper aims to describe the concept of sharia applied to financial technology in the practice of Islamic finance with a qualitative approach. The research is descriptive in nature, with the intention of describing and interpreting the findings and observations regarding financial technology in Islamic finance in terms of its relevance to the concept of sharia</w:t>
      </w:r>
    </w:p>
    <w:p w:rsidR="00B97AAC" w:rsidRPr="005C1900" w:rsidRDefault="00B97AAC" w:rsidP="001474C1">
      <w:pPr>
        <w:spacing w:line="259" w:lineRule="auto"/>
        <w:jc w:val="both"/>
        <w:rPr>
          <w:rFonts w:asciiTheme="minorHAnsi" w:hAnsiTheme="minorHAnsi" w:cstheme="minorHAnsi"/>
          <w:b/>
          <w:bCs/>
          <w:color w:val="4F81BD" w:themeColor="accent1"/>
        </w:rPr>
      </w:pPr>
      <w:r w:rsidRPr="005C1900">
        <w:rPr>
          <w:rFonts w:asciiTheme="minorHAnsi" w:hAnsiTheme="minorHAnsi" w:cstheme="minorHAnsi"/>
          <w:b/>
          <w:bCs/>
          <w:color w:val="4F81BD" w:themeColor="accent1"/>
        </w:rPr>
        <w:t>Results and Discussion</w:t>
      </w:r>
    </w:p>
    <w:p w:rsidR="00B97AAC" w:rsidRPr="00160070" w:rsidRDefault="00B97AAC" w:rsidP="001474C1">
      <w:pPr>
        <w:spacing w:line="259" w:lineRule="auto"/>
        <w:ind w:firstLine="720"/>
        <w:jc w:val="both"/>
        <w:rPr>
          <w:rFonts w:asciiTheme="minorHAnsi" w:hAnsiTheme="minorHAnsi" w:cstheme="minorHAnsi"/>
        </w:rPr>
      </w:pPr>
      <w:r w:rsidRPr="00160070">
        <w:rPr>
          <w:rFonts w:asciiTheme="minorHAnsi" w:hAnsiTheme="minorHAnsi" w:cstheme="minorHAnsi"/>
        </w:rPr>
        <w:t>Article 3 paragraph (1) states the categories of financial technology (Fintech) implementation, namely for payment systems, lending, financing, capital provision, market population, investment management, risk management and other financial services</w:t>
      </w:r>
      <w:r w:rsidR="00CD468F">
        <w:rPr>
          <w:rFonts w:asciiTheme="minorHAnsi" w:hAnsiTheme="minorHAnsi" w:cstheme="minorHAnsi"/>
        </w:rPr>
        <w:t xml:space="preserve"> </w:t>
      </w:r>
      <w:r w:rsidR="00CD468F">
        <w:rPr>
          <w:rFonts w:asciiTheme="minorHAnsi" w:hAnsiTheme="minorHAnsi" w:cstheme="minorHAnsi"/>
        </w:rPr>
        <w:fldChar w:fldCharType="begin" w:fldLock="1"/>
      </w:r>
      <w:r w:rsidR="00402724">
        <w:rPr>
          <w:rFonts w:asciiTheme="minorHAnsi" w:hAnsiTheme="minorHAnsi" w:cstheme="minorHAnsi"/>
        </w:rPr>
        <w:instrText>ADDIN CSL_CITATION {"citationItems":[{"id":"ITEM-1","itemData":{"ISSN":"2364-5369","author":[{"dropping-particle":"","family":"Tsary","given":"Syifa Rana","non-dropping-particle":"","parse-names":false,"suffix":""},{"dropping-particle":"","family":"Dahlia","given":"Dahlia","non-dropping-particle":"","parse-names":false,"suffix":""}],"container-title":"International Journal of Multicultural and Multireligious Understanding","id":"ITEM-1","issue":"8","issued":{"date-parts":[["2022"]]},"page":"89-98","title":"Existence of Financial Technology (Fintech) on the Role of Indonesian Society","type":"article-journal","volume":"9"},"uris":["http://www.mendeley.com/documents/?uuid=3a596b4e-1cdd-42fa-b0b1-dbb10fbe6707"]}],"mendeley":{"formattedCitation":"(Tsary &amp; Dahlia, 2022)","plainTextFormattedCitation":"(Tsary &amp; Dahlia, 2022)","previouslyFormattedCitation":"(Tsary &amp; Dahlia, 2022)"},"properties":{"noteIndex":0},"schema":"https://github.com/citation-style-language/schema/raw/master/csl-citation.json"}</w:instrText>
      </w:r>
      <w:r w:rsidR="00CD468F">
        <w:rPr>
          <w:rFonts w:asciiTheme="minorHAnsi" w:hAnsiTheme="minorHAnsi" w:cstheme="minorHAnsi"/>
        </w:rPr>
        <w:fldChar w:fldCharType="separate"/>
      </w:r>
      <w:r w:rsidR="00CD468F" w:rsidRPr="00CD468F">
        <w:rPr>
          <w:rFonts w:asciiTheme="minorHAnsi" w:hAnsiTheme="minorHAnsi" w:cstheme="minorHAnsi"/>
          <w:noProof/>
        </w:rPr>
        <w:t>(Tsary &amp; Dahlia, 2022)</w:t>
      </w:r>
      <w:r w:rsidR="00CD468F">
        <w:rPr>
          <w:rFonts w:asciiTheme="minorHAnsi" w:hAnsiTheme="minorHAnsi" w:cstheme="minorHAnsi"/>
        </w:rPr>
        <w:fldChar w:fldCharType="end"/>
      </w:r>
      <w:r w:rsidRPr="00160070">
        <w:rPr>
          <w:rFonts w:asciiTheme="minorHAnsi" w:hAnsiTheme="minorHAnsi" w:cstheme="minorHAnsi"/>
        </w:rPr>
        <w:t>. (Bank Indonesia Regulation No. 19/12/PBI/2017). Fintech investment is a system of investing money or capital by utilizing financial technology, especially digital-based</w:t>
      </w:r>
      <w:r w:rsidR="000D2F4A">
        <w:rPr>
          <w:rFonts w:asciiTheme="minorHAnsi" w:hAnsiTheme="minorHAnsi" w:cstheme="minorHAnsi"/>
        </w:rPr>
        <w:t xml:space="preserve"> </w:t>
      </w:r>
      <w:r w:rsidR="000D2F4A">
        <w:rPr>
          <w:rFonts w:asciiTheme="minorHAnsi" w:hAnsiTheme="minorHAnsi" w:cstheme="minorHAnsi"/>
        </w:rPr>
        <w:fldChar w:fldCharType="begin" w:fldLock="1"/>
      </w:r>
      <w:r w:rsidR="00CD468F">
        <w:rPr>
          <w:rFonts w:asciiTheme="minorHAnsi" w:hAnsiTheme="minorHAnsi" w:cstheme="minorHAnsi"/>
        </w:rPr>
        <w:instrText>ADDIN CSL_CITATION {"citationItems":[{"id":"ITEM-1","itemData":{"author":[{"dropping-particle":"","family":"Lestari","given":"Diyan","non-dropping-particle":"","parse-names":false,"suffix":""},{"dropping-particle":"","family":"Rahmanto","given":"Basuki Toto","non-dropping-particle":"","parse-names":false,"suffix":""}],"container-title":"Lestari, D., &amp; Rahmanto, BT (2021). Fintech and Its Challenge for Banking Sector. The Management Journal of BINANIAGA","id":"ITEM-1","issue":"01","issued":{"date-parts":[["2023"]]},"page":"55-70","title":"Fintech and its challenge for banking sector","type":"article-journal","volume":"6"},"uris":["http://www.mendeley.com/documents/?uuid=667ef139-f418-46e5-9d9b-d9a24cf4a019"]}],"mendeley":{"formattedCitation":"(Lestari &amp; Rahmanto, 2023)","plainTextFormattedCitation":"(Lestari &amp; Rahmanto, 2023)","previouslyFormattedCitation":"(Lestari &amp; Rahmanto, 2023)"},"properties":{"noteIndex":0},"schema":"https://github.com/citation-style-language/schema/raw/master/csl-citation.json"}</w:instrText>
      </w:r>
      <w:r w:rsidR="000D2F4A">
        <w:rPr>
          <w:rFonts w:asciiTheme="minorHAnsi" w:hAnsiTheme="minorHAnsi" w:cstheme="minorHAnsi"/>
        </w:rPr>
        <w:fldChar w:fldCharType="separate"/>
      </w:r>
      <w:r w:rsidR="000D2F4A" w:rsidRPr="000D2F4A">
        <w:rPr>
          <w:rFonts w:asciiTheme="minorHAnsi" w:hAnsiTheme="minorHAnsi" w:cstheme="minorHAnsi"/>
          <w:noProof/>
        </w:rPr>
        <w:t>(Lestari &amp; Rahmanto, 2023)</w:t>
      </w:r>
      <w:r w:rsidR="000D2F4A">
        <w:rPr>
          <w:rFonts w:asciiTheme="minorHAnsi" w:hAnsiTheme="minorHAnsi" w:cstheme="minorHAnsi"/>
        </w:rPr>
        <w:fldChar w:fldCharType="end"/>
      </w:r>
      <w:r w:rsidRPr="00160070">
        <w:rPr>
          <w:rFonts w:asciiTheme="minorHAnsi" w:hAnsiTheme="minorHAnsi" w:cstheme="minorHAnsi"/>
        </w:rPr>
        <w:t>. Currently, everyone can invest their money in mutual funds, stocks, deposits, gold, and become a lender in peer to peer lending digitally. All investment processes are carried out and controlled by all parties involved using only smartphones and the internet</w:t>
      </w:r>
      <w:r w:rsidR="00402724">
        <w:rPr>
          <w:rFonts w:asciiTheme="minorHAnsi" w:hAnsiTheme="minorHAnsi" w:cstheme="minorHAnsi"/>
        </w:rPr>
        <w:t xml:space="preserve"> </w:t>
      </w:r>
      <w:r w:rsidR="00402724">
        <w:rPr>
          <w:rFonts w:asciiTheme="minorHAnsi" w:hAnsiTheme="minorHAnsi" w:cstheme="minorHAnsi"/>
        </w:rPr>
        <w:fldChar w:fldCharType="begin" w:fldLock="1"/>
      </w:r>
      <w:r w:rsidR="000640B8">
        <w:rPr>
          <w:rFonts w:asciiTheme="minorHAnsi" w:hAnsiTheme="minorHAnsi" w:cstheme="minorHAnsi"/>
        </w:rPr>
        <w:instrText>ADDIN CSL_CITATION {"citationItems":[{"id":"ITEM-1","itemData":{"ISSN":"1810-4967","author":[{"dropping-particle":"","family":"Apalkova","given":"Viktoriia","non-dropping-particle":"","parse-names":false,"suffix":""},{"dropping-particle":"","family":"Tsyganov","given":"Sergiy","non-dropping-particle":"","parse-names":false,"suffix":""},{"dropping-particle":"","family":"Chernytska","given":"Tetiana","non-dropping-particle":"","parse-names":false,"suffix":""},{"dropping-particle":"","family":"Meshko","given":"Nataliia","non-dropping-particle":"","parse-names":false,"suffix":""},{"dropping-particle":"","family":"Tsyganova","given":"Nadiia","non-dropping-particle":"","parse-names":false,"suffix":""}],"container-title":"Investment Management &amp; Financial Innovations","id":"ITEM-1","issue":"4","issued":{"date-parts":[["2021"]]},"page":"252","publisher":"Business Perspectives Ltd.","title":"Evaluating the economic and ecological effects of investment projects: a new model and its application to smartphone manufacturing in Europe","type":"article-journal","volume":"18"},"uris":["http://www.mendeley.com/documents/?uuid=f3d3fdb7-7622-41a7-9d81-3d07c42ec875"]}],"mendeley":{"formattedCitation":"(Apalkova et al., 2021)","plainTextFormattedCitation":"(Apalkova et al., 2021)","previouslyFormattedCitation":"(Apalkova et al., 2021)"},"properties":{"noteIndex":0},"schema":"https://github.com/citation-style-language/schema/raw/master/csl-citation.json"}</w:instrText>
      </w:r>
      <w:r w:rsidR="00402724">
        <w:rPr>
          <w:rFonts w:asciiTheme="minorHAnsi" w:hAnsiTheme="minorHAnsi" w:cstheme="minorHAnsi"/>
        </w:rPr>
        <w:fldChar w:fldCharType="separate"/>
      </w:r>
      <w:r w:rsidR="00402724" w:rsidRPr="00402724">
        <w:rPr>
          <w:rFonts w:asciiTheme="minorHAnsi" w:hAnsiTheme="minorHAnsi" w:cstheme="minorHAnsi"/>
          <w:noProof/>
        </w:rPr>
        <w:t>(Apalkova et al., 2021)</w:t>
      </w:r>
      <w:r w:rsidR="00402724">
        <w:rPr>
          <w:rFonts w:asciiTheme="minorHAnsi" w:hAnsiTheme="minorHAnsi" w:cstheme="minorHAnsi"/>
        </w:rPr>
        <w:fldChar w:fldCharType="end"/>
      </w:r>
      <w:r w:rsidR="00CD468F">
        <w:rPr>
          <w:rFonts w:asciiTheme="minorHAnsi" w:hAnsiTheme="minorHAnsi" w:cstheme="minorHAnsi"/>
        </w:rPr>
        <w:t>.</w:t>
      </w:r>
    </w:p>
    <w:p w:rsidR="00160070" w:rsidRDefault="00B97AAC" w:rsidP="001474C1">
      <w:pPr>
        <w:spacing w:line="259" w:lineRule="auto"/>
        <w:ind w:firstLine="720"/>
        <w:jc w:val="both"/>
        <w:rPr>
          <w:rFonts w:asciiTheme="minorHAnsi" w:hAnsiTheme="minorHAnsi" w:cstheme="minorHAnsi"/>
        </w:rPr>
      </w:pPr>
      <w:r w:rsidRPr="00160070">
        <w:rPr>
          <w:rFonts w:asciiTheme="minorHAnsi" w:hAnsiTheme="minorHAnsi" w:cstheme="minorHAnsi"/>
        </w:rPr>
        <w:t>For example, in peer to peer lending, the manager or intermediary only needs to create a digital platform that becomes a meeting place between investors or lenders and creditors or borrowers</w:t>
      </w:r>
      <w:r w:rsidR="009F5045">
        <w:rPr>
          <w:rFonts w:asciiTheme="minorHAnsi" w:hAnsiTheme="minorHAnsi" w:cstheme="minorHAnsi"/>
        </w:rPr>
        <w:t xml:space="preserve"> </w:t>
      </w:r>
      <w:r w:rsidR="009F5045">
        <w:rPr>
          <w:rFonts w:asciiTheme="minorHAnsi" w:hAnsiTheme="minorHAnsi" w:cstheme="minorHAnsi"/>
        </w:rPr>
        <w:fldChar w:fldCharType="begin" w:fldLock="1"/>
      </w:r>
      <w:r w:rsidR="00A07022">
        <w:rPr>
          <w:rFonts w:asciiTheme="minorHAnsi" w:hAnsiTheme="minorHAnsi" w:cstheme="minorHAnsi"/>
        </w:rPr>
        <w:instrText>ADDIN CSL_CITATION {"citationItems":[{"id":"ITEM-1","itemData":{"author":[{"dropping-particle":"","family":"Ofir","given":"Moran","non-dropping-particle":"","parse-names":false,"suffix":""},{"dropping-particle":"","family":"Tzang","given":"Ido","non-dropping-particle":"","parse-names":false,"suffix":""}],"container-title":"Berkeley Bus. LJ","id":"ITEM-1","issued":{"date-parts":[["2022"]]},"page":"175","publisher":"HeinOnline","title":"An Empirical View of Peer-to-Peer (P2P) Lending Platforms","type":"article-journal","volume":"19"},"uris":["http://www.mendeley.com/documents/?uuid=df9cdebc-f2c4-4f6c-ba91-8b44c5072a72"]}],"mendeley":{"formattedCitation":"(Ofir &amp; Tzang, 2022)","plainTextFormattedCitation":"(Ofir &amp; Tzang, 2022)","previouslyFormattedCitation":"(Ofir &amp; Tzang, 2022)"},"properties":{"noteIndex":0},"schema":"https://github.com/citation-style-language/schema/raw/master/csl-citation.json"}</w:instrText>
      </w:r>
      <w:r w:rsidR="009F5045">
        <w:rPr>
          <w:rFonts w:asciiTheme="minorHAnsi" w:hAnsiTheme="minorHAnsi" w:cstheme="minorHAnsi"/>
        </w:rPr>
        <w:fldChar w:fldCharType="separate"/>
      </w:r>
      <w:r w:rsidR="009F5045" w:rsidRPr="009F5045">
        <w:rPr>
          <w:rFonts w:asciiTheme="minorHAnsi" w:hAnsiTheme="minorHAnsi" w:cstheme="minorHAnsi"/>
          <w:noProof/>
        </w:rPr>
        <w:t>(Ofir &amp; Tzang, 2022)</w:t>
      </w:r>
      <w:r w:rsidR="009F5045">
        <w:rPr>
          <w:rFonts w:asciiTheme="minorHAnsi" w:hAnsiTheme="minorHAnsi" w:cstheme="minorHAnsi"/>
        </w:rPr>
        <w:fldChar w:fldCharType="end"/>
      </w:r>
      <w:r w:rsidRPr="00160070">
        <w:rPr>
          <w:rFonts w:asciiTheme="minorHAnsi" w:hAnsiTheme="minorHAnsi" w:cstheme="minorHAnsi"/>
        </w:rPr>
        <w:t>. The advantage of this system is that lenders will get a higher return on the funds they lend. While the benefits for creditors, the terms and process of lending are much easier and faster</w:t>
      </w:r>
      <w:r w:rsidR="00A07022">
        <w:rPr>
          <w:rFonts w:asciiTheme="minorHAnsi" w:hAnsiTheme="minorHAnsi" w:cstheme="minorHAnsi"/>
        </w:rPr>
        <w:fldChar w:fldCharType="begin" w:fldLock="1"/>
      </w:r>
      <w:r w:rsidR="00A07022">
        <w:rPr>
          <w:rFonts w:asciiTheme="minorHAnsi" w:hAnsiTheme="minorHAnsi" w:cstheme="minorHAnsi"/>
        </w:rPr>
        <w:instrText>ADDIN CSL_CITATION {"citationItems":[{"id":"ITEM-1","itemData":{"ISSN":"0304-3878","author":[{"dropping-particle":"","family":"Burlando","given":"Alfredo","non-dropping-particle":"","parse-names":false,"suffix":""},{"dropping-particle":"","family":"Kuhn","given":"Michael A","non-dropping-particle":"","parse-names":false,"suffix":""},{"dropping-particle":"","family":"Prina","given":"Silvia","non-dropping-particle":"","parse-names":false,"suffix":""}],"container-title":"Journal of Development Economics","id":"ITEM-1","issued":{"date-parts":[["2024"]]},"page":"103427","publisher":"Elsevier","title":"Too fast, too furious? digital credit delivery speed and repayment rates","type":"article-journal"},"uris":["http://www.mendeley.com/documents/?uuid=3d2d315c-ac59-4bd1-bccf-05acfa867ea7"]}],"mendeley":{"formattedCitation":"(Burlando et al., 2024)","plainTextFormattedCitation":"(Burlando et al., 2024)","previouslyFormattedCitation":"(Burlando et al., 2024)"},"properties":{"noteIndex":0},"schema":"https://github.com/citation-style-language/schema/raw/master/csl-citation.json"}</w:instrText>
      </w:r>
      <w:r w:rsidR="00A07022">
        <w:rPr>
          <w:rFonts w:asciiTheme="minorHAnsi" w:hAnsiTheme="minorHAnsi" w:cstheme="minorHAnsi"/>
        </w:rPr>
        <w:fldChar w:fldCharType="separate"/>
      </w:r>
      <w:r w:rsidR="00A07022" w:rsidRPr="00A07022">
        <w:rPr>
          <w:rFonts w:asciiTheme="minorHAnsi" w:hAnsiTheme="minorHAnsi" w:cstheme="minorHAnsi"/>
          <w:noProof/>
        </w:rPr>
        <w:t>(Burlando et al., 2024)</w:t>
      </w:r>
      <w:r w:rsidR="00A07022">
        <w:rPr>
          <w:rFonts w:asciiTheme="minorHAnsi" w:hAnsiTheme="minorHAnsi" w:cstheme="minorHAnsi"/>
        </w:rPr>
        <w:fldChar w:fldCharType="end"/>
      </w:r>
      <w:r w:rsidRPr="00160070">
        <w:rPr>
          <w:rFonts w:asciiTheme="minorHAnsi" w:hAnsiTheme="minorHAnsi" w:cstheme="minorHAnsi"/>
        </w:rPr>
        <w:t>. investment in the field of fintech, especially fintech lending, has various risks that if not recognized properly will cause losses. But on the contrary, if the risks in the world of investment are well recognized, all the strategies needed to anticipate them can be prepared from the start</w:t>
      </w:r>
      <w:r w:rsidR="00D0225B">
        <w:rPr>
          <w:rFonts w:asciiTheme="minorHAnsi" w:hAnsiTheme="minorHAnsi" w:cstheme="minorHAnsi"/>
        </w:rPr>
        <w:t xml:space="preserve"> </w:t>
      </w:r>
      <w:r w:rsidR="00D0225B">
        <w:rPr>
          <w:rFonts w:asciiTheme="minorHAnsi" w:hAnsiTheme="minorHAnsi" w:cstheme="minorHAnsi"/>
        </w:rPr>
        <w:fldChar w:fldCharType="begin" w:fldLock="1"/>
      </w:r>
      <w:r w:rsidR="006753A2">
        <w:rPr>
          <w:rFonts w:asciiTheme="minorHAnsi" w:hAnsiTheme="minorHAnsi" w:cstheme="minorHAnsi"/>
        </w:rPr>
        <w:instrText>ADDIN CSL_CITATION {"citationItems":[{"id":"ITEM-1","itemData":{"ISSN":"2352-4847","author":[{"dropping-particle":"","family":"Ahmad","given":"Tanveer","non-dropping-particle":"","parse-names":false,"suffix":""},{"dropping-particle":"","family":"Zhu","given":"Hongyu","non-dropping-particle":"","parse-names":false,"suffix":""},{"dropping-particle":"","family":"Zhang","given":"Dongdong","non-dropping-particle":"","parse-names":false,"suffix":""},{"dropping-particle":"","family":"Tariq","given":"Rasikh","non-dropping-particle":"","parse-names":false,"suffix":""},{"dropping-particle":"","family":"Bassam","given":"A","non-dropping-particle":"","parse-names":false,"suffix":""},{"dropping-particle":"","family":"Ullah","given":"Fasee","non-dropping-particle":"","parse-names":false,"suffix":""},{"dropping-particle":"","family":"AlGhamdi","given":"Ahmed S","non-dropping-particle":"","parse-names":false,"suffix":""},{"dropping-particle":"","family":"Alshamrani","given":"Sultan S","non-dropping-particle":"","parse-names":false,"suffix":""}],"container-title":"Energy Reports","id":"ITEM-1","issued":{"date-parts":[["2022"]]},"page":"334-361","publisher":"Elsevier","title":"Energetics Systems and artificial intelligence: Applications of industry 4.0","type":"article-journal","volume":"8"},"uris":["http://www.mendeley.com/documents/?uuid=5cd3f016-0d38-43c2-82db-4d5d5b476295"]}],"mendeley":{"formattedCitation":"(Ahmad et al., 2022)","plainTextFormattedCitation":"(Ahmad et al., 2022)","previouslyFormattedCitation":"(Ahmad et al., 2022)"},"properties":{"noteIndex":0},"schema":"https://github.com/citation-style-language/schema/raw/master/csl-citation.json"}</w:instrText>
      </w:r>
      <w:r w:rsidR="00D0225B">
        <w:rPr>
          <w:rFonts w:asciiTheme="minorHAnsi" w:hAnsiTheme="minorHAnsi" w:cstheme="minorHAnsi"/>
        </w:rPr>
        <w:fldChar w:fldCharType="separate"/>
      </w:r>
      <w:r w:rsidR="00D0225B" w:rsidRPr="00D0225B">
        <w:rPr>
          <w:rFonts w:asciiTheme="minorHAnsi" w:hAnsiTheme="minorHAnsi" w:cstheme="minorHAnsi"/>
          <w:noProof/>
        </w:rPr>
        <w:t>(Ahmad et al., 2022)</w:t>
      </w:r>
      <w:r w:rsidR="00D0225B">
        <w:rPr>
          <w:rFonts w:asciiTheme="minorHAnsi" w:hAnsiTheme="minorHAnsi" w:cstheme="minorHAnsi"/>
        </w:rPr>
        <w:fldChar w:fldCharType="end"/>
      </w:r>
      <w:r w:rsidRPr="00160070">
        <w:rPr>
          <w:rFonts w:asciiTheme="minorHAnsi" w:hAnsiTheme="minorHAnsi" w:cstheme="minorHAnsi"/>
        </w:rPr>
        <w:t>.</w:t>
      </w:r>
    </w:p>
    <w:p w:rsidR="001474C1" w:rsidRDefault="001474C1" w:rsidP="001474C1">
      <w:pPr>
        <w:spacing w:line="259" w:lineRule="auto"/>
        <w:ind w:firstLine="720"/>
        <w:jc w:val="both"/>
        <w:rPr>
          <w:rFonts w:asciiTheme="minorHAnsi" w:hAnsiTheme="minorHAnsi" w:cstheme="minorHAnsi"/>
        </w:rPr>
      </w:pPr>
    </w:p>
    <w:p w:rsidR="001474C1" w:rsidRDefault="001474C1" w:rsidP="001474C1">
      <w:pPr>
        <w:spacing w:line="259" w:lineRule="auto"/>
        <w:ind w:firstLine="720"/>
        <w:jc w:val="both"/>
        <w:rPr>
          <w:rFonts w:asciiTheme="minorHAnsi" w:hAnsiTheme="minorHAnsi" w:cstheme="minorHAnsi"/>
        </w:rPr>
      </w:pPr>
    </w:p>
    <w:p w:rsidR="00406B2C" w:rsidRPr="00160070" w:rsidRDefault="00B97AAC" w:rsidP="001474C1">
      <w:pPr>
        <w:spacing w:line="259" w:lineRule="auto"/>
        <w:jc w:val="both"/>
        <w:rPr>
          <w:rFonts w:asciiTheme="minorHAnsi" w:hAnsiTheme="minorHAnsi" w:cstheme="minorHAnsi"/>
          <w:b/>
          <w:bCs/>
          <w:color w:val="1F4E79"/>
        </w:rPr>
      </w:pPr>
      <w:r w:rsidRPr="00160070">
        <w:rPr>
          <w:rFonts w:asciiTheme="minorHAnsi" w:hAnsiTheme="minorHAnsi" w:cstheme="minorHAnsi"/>
        </w:rPr>
        <w:lastRenderedPageBreak/>
        <w:t>Advantages and risks of using Islamic fintech in Islamic investment</w:t>
      </w:r>
    </w:p>
    <w:p w:rsidR="00D67618" w:rsidRPr="00160070" w:rsidRDefault="00D67618" w:rsidP="001474C1">
      <w:pPr>
        <w:pStyle w:val="ListParagraph"/>
        <w:numPr>
          <w:ilvl w:val="0"/>
          <w:numId w:val="3"/>
        </w:numPr>
        <w:spacing w:line="259" w:lineRule="auto"/>
        <w:jc w:val="both"/>
        <w:rPr>
          <w:rFonts w:asciiTheme="minorHAnsi" w:hAnsiTheme="minorHAnsi" w:cstheme="minorHAnsi"/>
          <w:sz w:val="24"/>
        </w:rPr>
      </w:pPr>
      <w:r w:rsidRPr="00160070">
        <w:rPr>
          <w:rFonts w:asciiTheme="minorHAnsi" w:hAnsiTheme="minorHAnsi" w:cstheme="minorHAnsi"/>
          <w:sz w:val="24"/>
        </w:rPr>
        <w:t xml:space="preserve">Wider Accessibility: </w:t>
      </w:r>
    </w:p>
    <w:p w:rsidR="00D67618" w:rsidRPr="00160070" w:rsidRDefault="00D67618" w:rsidP="001474C1">
      <w:pPr>
        <w:pStyle w:val="ListParagraph"/>
        <w:spacing w:line="259" w:lineRule="auto"/>
        <w:jc w:val="both"/>
        <w:rPr>
          <w:rFonts w:asciiTheme="minorHAnsi" w:hAnsiTheme="minorHAnsi" w:cstheme="minorHAnsi"/>
          <w:b/>
          <w:bCs/>
          <w:color w:val="36363D"/>
          <w:sz w:val="24"/>
        </w:rPr>
      </w:pPr>
      <w:r w:rsidRPr="00160070">
        <w:rPr>
          <w:rFonts w:asciiTheme="minorHAnsi" w:hAnsiTheme="minorHAnsi" w:cstheme="minorHAnsi"/>
          <w:sz w:val="24"/>
        </w:rPr>
        <w:t>Sharia Fintech opens access to sharia investment to more people. With digital platforms, investors can participate in Islamic investments without having to be limited by geography or finance</w:t>
      </w:r>
      <w:r w:rsidR="006D4FE1">
        <w:rPr>
          <w:rFonts w:asciiTheme="minorHAnsi" w:hAnsiTheme="minorHAnsi" w:cstheme="minorHAnsi"/>
          <w:sz w:val="24"/>
        </w:rPr>
        <w:t xml:space="preserve"> </w:t>
      </w:r>
      <w:r w:rsidR="006D4FE1">
        <w:rPr>
          <w:rFonts w:asciiTheme="minorHAnsi" w:hAnsiTheme="minorHAnsi" w:cstheme="minorHAnsi"/>
          <w:sz w:val="24"/>
        </w:rPr>
        <w:fldChar w:fldCharType="begin" w:fldLock="1"/>
      </w:r>
      <w:r w:rsidR="00AF4BC8">
        <w:rPr>
          <w:rFonts w:asciiTheme="minorHAnsi" w:hAnsiTheme="minorHAnsi" w:cstheme="minorHAnsi"/>
          <w:sz w:val="24"/>
        </w:rPr>
        <w:instrText>ADDIN CSL_CITATION {"citationItems":[{"id":"ITEM-1","itemData":{"ISSN":"2210-142X","author":[{"dropping-particle":"","family":"Rabbani","given":"Mustafa Raza","non-dropping-particle":"","parse-names":false,"suffix":""}],"container-title":"International Journal of Computing and Digital Systems","id":"ITEM-1","issue":"1","issued":{"date-parts":[["2022"]]},"page":"1-28","publisher":"University Of Bahrain","title":"Fintech innovations, scope, challenges, and implications in Islamic Finance: A systematic analysis","type":"article-journal","volume":"11"},"uris":["http://www.mendeley.com/documents/?uuid=2423b0d9-b0f5-4bbc-802b-4dea75ca3cde"]}],"mendeley":{"formattedCitation":"(Rabbani, 2022)","plainTextFormattedCitation":"(Rabbani, 2022)","previouslyFormattedCitation":"(Rabbani, 2022)"},"properties":{"noteIndex":0},"schema":"https://github.com/citation-style-language/schema/raw/master/csl-citation.json"}</w:instrText>
      </w:r>
      <w:r w:rsidR="006D4FE1">
        <w:rPr>
          <w:rFonts w:asciiTheme="minorHAnsi" w:hAnsiTheme="minorHAnsi" w:cstheme="minorHAnsi"/>
          <w:sz w:val="24"/>
        </w:rPr>
        <w:fldChar w:fldCharType="separate"/>
      </w:r>
      <w:r w:rsidR="006D4FE1" w:rsidRPr="006D4FE1">
        <w:rPr>
          <w:rFonts w:asciiTheme="minorHAnsi" w:hAnsiTheme="minorHAnsi" w:cstheme="minorHAnsi"/>
          <w:noProof/>
          <w:sz w:val="24"/>
        </w:rPr>
        <w:t>(Rabbani, 2022)</w:t>
      </w:r>
      <w:r w:rsidR="006D4FE1">
        <w:rPr>
          <w:rFonts w:asciiTheme="minorHAnsi" w:hAnsiTheme="minorHAnsi" w:cstheme="minorHAnsi"/>
          <w:sz w:val="24"/>
        </w:rPr>
        <w:fldChar w:fldCharType="end"/>
      </w:r>
      <w:r w:rsidRPr="00160070">
        <w:rPr>
          <w:rFonts w:asciiTheme="minorHAnsi" w:hAnsiTheme="minorHAnsi" w:cstheme="minorHAnsi"/>
          <w:sz w:val="24"/>
        </w:rPr>
        <w:t xml:space="preserve">. </w:t>
      </w:r>
    </w:p>
    <w:p w:rsidR="00D67618" w:rsidRPr="00160070" w:rsidRDefault="00D67618" w:rsidP="001474C1">
      <w:pPr>
        <w:pStyle w:val="ListParagraph"/>
        <w:numPr>
          <w:ilvl w:val="0"/>
          <w:numId w:val="3"/>
        </w:numPr>
        <w:spacing w:line="259" w:lineRule="auto"/>
        <w:jc w:val="both"/>
        <w:rPr>
          <w:rFonts w:asciiTheme="minorHAnsi" w:hAnsiTheme="minorHAnsi" w:cstheme="minorHAnsi"/>
          <w:b/>
          <w:bCs/>
          <w:color w:val="36363D"/>
          <w:sz w:val="24"/>
        </w:rPr>
      </w:pPr>
      <w:r w:rsidRPr="00160070">
        <w:rPr>
          <w:rFonts w:asciiTheme="minorHAnsi" w:hAnsiTheme="minorHAnsi" w:cstheme="minorHAnsi"/>
          <w:sz w:val="24"/>
        </w:rPr>
        <w:t xml:space="preserve">Operational Efficiency: </w:t>
      </w:r>
    </w:p>
    <w:p w:rsidR="00D67618" w:rsidRPr="00160070" w:rsidRDefault="00D67618" w:rsidP="001474C1">
      <w:pPr>
        <w:pStyle w:val="ListParagraph"/>
        <w:spacing w:line="259" w:lineRule="auto"/>
        <w:jc w:val="both"/>
        <w:rPr>
          <w:rFonts w:asciiTheme="minorHAnsi" w:hAnsiTheme="minorHAnsi" w:cstheme="minorHAnsi"/>
          <w:b/>
          <w:bCs/>
          <w:color w:val="36363D"/>
          <w:sz w:val="24"/>
        </w:rPr>
      </w:pPr>
      <w:r w:rsidRPr="00160070">
        <w:rPr>
          <w:rFonts w:asciiTheme="minorHAnsi" w:hAnsiTheme="minorHAnsi" w:cstheme="minorHAnsi"/>
          <w:sz w:val="24"/>
        </w:rPr>
        <w:t>The use of technology in Islamic Fintech can improve operational efficiency, reduce transaction costs, and provide faster services to investors</w:t>
      </w:r>
      <w:r w:rsidR="00AF4BC8">
        <w:rPr>
          <w:rFonts w:asciiTheme="minorHAnsi" w:hAnsiTheme="minorHAnsi" w:cstheme="minorHAnsi"/>
          <w:sz w:val="24"/>
        </w:rPr>
        <w:t xml:space="preserve"> </w:t>
      </w:r>
      <w:r w:rsidR="00AF4BC8">
        <w:rPr>
          <w:rFonts w:asciiTheme="minorHAnsi" w:hAnsiTheme="minorHAnsi" w:cstheme="minorHAnsi"/>
          <w:sz w:val="24"/>
        </w:rPr>
        <w:fldChar w:fldCharType="begin" w:fldLock="1"/>
      </w:r>
      <w:r w:rsidR="00E90830">
        <w:rPr>
          <w:rFonts w:asciiTheme="minorHAnsi" w:hAnsiTheme="minorHAnsi" w:cstheme="minorHAnsi"/>
          <w:sz w:val="24"/>
        </w:rPr>
        <w:instrText>ADDIN CSL_CITATION {"citationItems":[{"id":"ITEM-1","itemData":{"author":[{"dropping-particle":"","family":"Kamaldeen","given":"Olatunji","non-dropping-particle":"","parse-names":false,"suffix":""}],"id":"ITEM-1","issued":{"date-parts":[["2024"]]},"title":"Analyzing the Impact of Fintech on Operational Efficiency in African Islamic Banking","type":"article-journal"},"uris":["http://www.mendeley.com/documents/?uuid=d109e451-efb6-4c56-85eb-a9a033855f90"]}],"mendeley":{"formattedCitation":"(Kamaldeen, 2024)","plainTextFormattedCitation":"(Kamaldeen, 2024)","previouslyFormattedCitation":"(Kamaldeen, 2024)"},"properties":{"noteIndex":0},"schema":"https://github.com/citation-style-language/schema/raw/master/csl-citation.json"}</w:instrText>
      </w:r>
      <w:r w:rsidR="00AF4BC8">
        <w:rPr>
          <w:rFonts w:asciiTheme="minorHAnsi" w:hAnsiTheme="minorHAnsi" w:cstheme="minorHAnsi"/>
          <w:sz w:val="24"/>
        </w:rPr>
        <w:fldChar w:fldCharType="separate"/>
      </w:r>
      <w:r w:rsidR="00AF4BC8" w:rsidRPr="00AF4BC8">
        <w:rPr>
          <w:rFonts w:asciiTheme="minorHAnsi" w:hAnsiTheme="minorHAnsi" w:cstheme="minorHAnsi"/>
          <w:noProof/>
          <w:sz w:val="24"/>
        </w:rPr>
        <w:t>(Kamaldeen, 2024)</w:t>
      </w:r>
      <w:r w:rsidR="00AF4BC8">
        <w:rPr>
          <w:rFonts w:asciiTheme="minorHAnsi" w:hAnsiTheme="minorHAnsi" w:cstheme="minorHAnsi"/>
          <w:sz w:val="24"/>
        </w:rPr>
        <w:fldChar w:fldCharType="end"/>
      </w:r>
      <w:r w:rsidRPr="00160070">
        <w:rPr>
          <w:rFonts w:asciiTheme="minorHAnsi" w:hAnsiTheme="minorHAnsi" w:cstheme="minorHAnsi"/>
          <w:sz w:val="24"/>
        </w:rPr>
        <w:t xml:space="preserve">. </w:t>
      </w:r>
    </w:p>
    <w:p w:rsidR="00D67618" w:rsidRPr="00160070" w:rsidRDefault="00D67618" w:rsidP="001474C1">
      <w:pPr>
        <w:pStyle w:val="ListParagraph"/>
        <w:numPr>
          <w:ilvl w:val="0"/>
          <w:numId w:val="3"/>
        </w:numPr>
        <w:spacing w:line="259" w:lineRule="auto"/>
        <w:jc w:val="both"/>
        <w:rPr>
          <w:rFonts w:asciiTheme="minorHAnsi" w:hAnsiTheme="minorHAnsi" w:cstheme="minorHAnsi"/>
          <w:b/>
          <w:bCs/>
          <w:color w:val="36363D"/>
          <w:sz w:val="24"/>
        </w:rPr>
      </w:pPr>
      <w:r w:rsidRPr="00160070">
        <w:rPr>
          <w:rFonts w:asciiTheme="minorHAnsi" w:hAnsiTheme="minorHAnsi" w:cstheme="minorHAnsi"/>
          <w:sz w:val="24"/>
        </w:rPr>
        <w:t xml:space="preserve">Transparency and Accessible Information: </w:t>
      </w:r>
    </w:p>
    <w:p w:rsidR="00D67618" w:rsidRPr="00160070" w:rsidRDefault="00D67618" w:rsidP="001474C1">
      <w:pPr>
        <w:pStyle w:val="ListParagraph"/>
        <w:spacing w:line="259" w:lineRule="auto"/>
        <w:jc w:val="both"/>
        <w:rPr>
          <w:rFonts w:asciiTheme="minorHAnsi" w:hAnsiTheme="minorHAnsi" w:cstheme="minorHAnsi"/>
          <w:b/>
          <w:bCs/>
          <w:color w:val="36363D"/>
          <w:sz w:val="24"/>
        </w:rPr>
      </w:pPr>
      <w:r w:rsidRPr="00160070">
        <w:rPr>
          <w:rFonts w:asciiTheme="minorHAnsi" w:hAnsiTheme="minorHAnsi" w:cstheme="minorHAnsi"/>
          <w:sz w:val="24"/>
        </w:rPr>
        <w:t xml:space="preserve">Islamic Fintech platforms provide transparent and easily accessible information on Islamic investment products and instruments. This helps investors to make more informed decisions. </w:t>
      </w:r>
    </w:p>
    <w:p w:rsidR="00D67618" w:rsidRPr="00160070" w:rsidRDefault="00D67618" w:rsidP="001474C1">
      <w:pPr>
        <w:pStyle w:val="ListParagraph"/>
        <w:numPr>
          <w:ilvl w:val="0"/>
          <w:numId w:val="3"/>
        </w:numPr>
        <w:spacing w:line="259" w:lineRule="auto"/>
        <w:jc w:val="both"/>
        <w:rPr>
          <w:rFonts w:asciiTheme="minorHAnsi" w:hAnsiTheme="minorHAnsi" w:cstheme="minorHAnsi"/>
          <w:b/>
          <w:bCs/>
          <w:color w:val="36363D"/>
          <w:sz w:val="24"/>
        </w:rPr>
      </w:pPr>
      <w:r w:rsidRPr="00160070">
        <w:rPr>
          <w:rFonts w:asciiTheme="minorHAnsi" w:hAnsiTheme="minorHAnsi" w:cstheme="minorHAnsi"/>
          <w:sz w:val="24"/>
        </w:rPr>
        <w:t xml:space="preserve">Portfolio Diversification: </w:t>
      </w:r>
    </w:p>
    <w:p w:rsidR="00D67618" w:rsidRPr="00160070" w:rsidRDefault="00D67618" w:rsidP="001474C1">
      <w:pPr>
        <w:pStyle w:val="ListParagraph"/>
        <w:spacing w:line="259" w:lineRule="auto"/>
        <w:jc w:val="both"/>
        <w:rPr>
          <w:rFonts w:asciiTheme="minorHAnsi" w:hAnsiTheme="minorHAnsi" w:cstheme="minorHAnsi"/>
          <w:b/>
          <w:bCs/>
          <w:color w:val="36363D"/>
          <w:sz w:val="24"/>
        </w:rPr>
      </w:pPr>
      <w:r w:rsidRPr="00160070">
        <w:rPr>
          <w:rFonts w:asciiTheme="minorHAnsi" w:hAnsiTheme="minorHAnsi" w:cstheme="minorHAnsi"/>
          <w:sz w:val="24"/>
        </w:rPr>
        <w:t xml:space="preserve">Investors can easily diversify their portfolio by using Sharia Fintech. These platforms usually offer a wide array of investment products that comply with sharia principles. </w:t>
      </w:r>
    </w:p>
    <w:p w:rsidR="00D67618" w:rsidRPr="00160070" w:rsidRDefault="00D67618" w:rsidP="001474C1">
      <w:pPr>
        <w:pStyle w:val="ListParagraph"/>
        <w:numPr>
          <w:ilvl w:val="0"/>
          <w:numId w:val="3"/>
        </w:numPr>
        <w:spacing w:line="259" w:lineRule="auto"/>
        <w:jc w:val="both"/>
        <w:rPr>
          <w:rFonts w:asciiTheme="minorHAnsi" w:hAnsiTheme="minorHAnsi" w:cstheme="minorHAnsi"/>
          <w:b/>
          <w:bCs/>
          <w:color w:val="36363D"/>
          <w:sz w:val="24"/>
        </w:rPr>
      </w:pPr>
      <w:r w:rsidRPr="00160070">
        <w:rPr>
          <w:rFonts w:asciiTheme="minorHAnsi" w:hAnsiTheme="minorHAnsi" w:cstheme="minorHAnsi"/>
          <w:sz w:val="24"/>
        </w:rPr>
        <w:t xml:space="preserve">Ease of Investing: </w:t>
      </w:r>
    </w:p>
    <w:p w:rsidR="00D67618" w:rsidRPr="00160070" w:rsidRDefault="00D67618" w:rsidP="001474C1">
      <w:pPr>
        <w:pStyle w:val="ListParagraph"/>
        <w:spacing w:line="259" w:lineRule="auto"/>
        <w:jc w:val="both"/>
        <w:rPr>
          <w:rFonts w:asciiTheme="minorHAnsi" w:hAnsiTheme="minorHAnsi" w:cstheme="minorHAnsi"/>
          <w:b/>
          <w:bCs/>
          <w:color w:val="36363D"/>
          <w:sz w:val="24"/>
        </w:rPr>
      </w:pPr>
      <w:r w:rsidRPr="00160070">
        <w:rPr>
          <w:rFonts w:asciiTheme="minorHAnsi" w:hAnsiTheme="minorHAnsi" w:cstheme="minorHAnsi"/>
          <w:sz w:val="24"/>
        </w:rPr>
        <w:t xml:space="preserve">The investment process through Sharia Fintech will usually be easier and faster compared to traditional methods. Registration, withdrawal, and portfolio monitoring can be done easily through apps or digital platforms. </w:t>
      </w:r>
    </w:p>
    <w:p w:rsidR="00D67618" w:rsidRPr="00160070" w:rsidRDefault="00D67618" w:rsidP="001474C1">
      <w:pPr>
        <w:pStyle w:val="ListParagraph"/>
        <w:numPr>
          <w:ilvl w:val="0"/>
          <w:numId w:val="3"/>
        </w:numPr>
        <w:spacing w:line="259" w:lineRule="auto"/>
        <w:jc w:val="both"/>
        <w:rPr>
          <w:rFonts w:asciiTheme="minorHAnsi" w:hAnsiTheme="minorHAnsi" w:cstheme="minorHAnsi"/>
          <w:b/>
          <w:bCs/>
          <w:color w:val="36363D"/>
          <w:sz w:val="24"/>
        </w:rPr>
      </w:pPr>
      <w:r w:rsidRPr="00160070">
        <w:rPr>
          <w:rFonts w:asciiTheme="minorHAnsi" w:hAnsiTheme="minorHAnsi" w:cstheme="minorHAnsi"/>
          <w:sz w:val="24"/>
        </w:rPr>
        <w:t xml:space="preserve">Product and Service Innovation: </w:t>
      </w:r>
    </w:p>
    <w:p w:rsidR="00D67618" w:rsidRPr="00160070" w:rsidRDefault="00D67618" w:rsidP="001474C1">
      <w:pPr>
        <w:pStyle w:val="ListParagraph"/>
        <w:spacing w:line="259" w:lineRule="auto"/>
        <w:jc w:val="both"/>
        <w:rPr>
          <w:rFonts w:asciiTheme="minorHAnsi" w:hAnsiTheme="minorHAnsi" w:cstheme="minorHAnsi"/>
          <w:b/>
          <w:bCs/>
          <w:color w:val="36363D"/>
          <w:sz w:val="24"/>
        </w:rPr>
      </w:pPr>
      <w:r w:rsidRPr="00160070">
        <w:rPr>
          <w:rFonts w:asciiTheme="minorHAnsi" w:hAnsiTheme="minorHAnsi" w:cstheme="minorHAnsi"/>
          <w:sz w:val="24"/>
        </w:rPr>
        <w:t>Islamic Fintech continues to develop innovative products and services that suit the needs of Islamic investors</w:t>
      </w:r>
      <w:r w:rsidR="00E90830">
        <w:rPr>
          <w:rFonts w:asciiTheme="minorHAnsi" w:hAnsiTheme="minorHAnsi" w:cstheme="minorHAnsi"/>
          <w:sz w:val="24"/>
        </w:rPr>
        <w:t xml:space="preserve"> </w:t>
      </w:r>
      <w:r w:rsidR="00E90830">
        <w:rPr>
          <w:rFonts w:asciiTheme="minorHAnsi" w:hAnsiTheme="minorHAnsi" w:cstheme="minorHAnsi"/>
          <w:sz w:val="24"/>
        </w:rPr>
        <w:fldChar w:fldCharType="begin" w:fldLock="1"/>
      </w:r>
      <w:r w:rsidR="00AB255E">
        <w:rPr>
          <w:rFonts w:asciiTheme="minorHAnsi" w:hAnsiTheme="minorHAnsi" w:cstheme="minorHAnsi"/>
          <w:sz w:val="24"/>
        </w:rPr>
        <w:instrText>ADDIN CSL_CITATION {"citationItems":[{"id":"ITEM-1","itemData":{"ISSN":"2210-142X","author":[{"dropping-particle":"","family":"Rabbani","given":"Mustafa Raza","non-dropping-particle":"","parse-names":false,"suffix":""}],"container-title":"International Journal of Computing and Digital Systems","id":"ITEM-1","issue":"1","issued":{"date-parts":[["2022"]]},"page":"1-28","publisher":"University Of Bahrain","title":"Fintech innovations, scope, challenges, and implications in Islamic Finance: A systematic analysis","type":"article-journal","volume":"11"},"uris":["http://www.mendeley.com/documents/?uuid=2423b0d9-b0f5-4bbc-802b-4dea75ca3cde"]}],"mendeley":{"formattedCitation":"(Rabbani, 2022)","plainTextFormattedCitation":"(Rabbani, 2022)","previouslyFormattedCitation":"(Rabbani, 2022)"},"properties":{"noteIndex":0},"schema":"https://github.com/citation-style-language/schema/raw/master/csl-citation.json"}</w:instrText>
      </w:r>
      <w:r w:rsidR="00E90830">
        <w:rPr>
          <w:rFonts w:asciiTheme="minorHAnsi" w:hAnsiTheme="minorHAnsi" w:cstheme="minorHAnsi"/>
          <w:sz w:val="24"/>
        </w:rPr>
        <w:fldChar w:fldCharType="separate"/>
      </w:r>
      <w:r w:rsidR="00E90830" w:rsidRPr="00E90830">
        <w:rPr>
          <w:rFonts w:asciiTheme="minorHAnsi" w:hAnsiTheme="minorHAnsi" w:cstheme="minorHAnsi"/>
          <w:noProof/>
          <w:sz w:val="24"/>
        </w:rPr>
        <w:t>(Rabbani, 2022)</w:t>
      </w:r>
      <w:r w:rsidR="00E90830">
        <w:rPr>
          <w:rFonts w:asciiTheme="minorHAnsi" w:hAnsiTheme="minorHAnsi" w:cstheme="minorHAnsi"/>
          <w:sz w:val="24"/>
        </w:rPr>
        <w:fldChar w:fldCharType="end"/>
      </w:r>
      <w:r w:rsidRPr="00160070">
        <w:rPr>
          <w:rFonts w:asciiTheme="minorHAnsi" w:hAnsiTheme="minorHAnsi" w:cstheme="minorHAnsi"/>
          <w:sz w:val="24"/>
        </w:rPr>
        <w:t>. These include robo-advisors, peer-to-peer financing, and more flexible Islamic investment instruments</w:t>
      </w:r>
      <w:r w:rsidRPr="00160070">
        <w:rPr>
          <w:rFonts w:asciiTheme="minorHAnsi" w:hAnsiTheme="minorHAnsi" w:cstheme="minorHAnsi"/>
          <w:sz w:val="24"/>
          <w:lang w:val="id-ID"/>
        </w:rPr>
        <w:t>.</w:t>
      </w:r>
    </w:p>
    <w:p w:rsidR="00160070" w:rsidRPr="00160070" w:rsidRDefault="00160070" w:rsidP="001474C1">
      <w:pPr>
        <w:spacing w:line="259" w:lineRule="auto"/>
        <w:jc w:val="both"/>
        <w:rPr>
          <w:rFonts w:asciiTheme="minorHAnsi" w:hAnsiTheme="minorHAnsi" w:cstheme="minorHAnsi"/>
          <w:b/>
          <w:bCs/>
          <w:color w:val="36363D"/>
          <w:lang w:val="en-US"/>
        </w:rPr>
      </w:pPr>
      <w:r w:rsidRPr="00160070">
        <w:rPr>
          <w:rFonts w:asciiTheme="minorHAnsi" w:hAnsiTheme="minorHAnsi" w:cstheme="minorHAnsi"/>
        </w:rPr>
        <w:t>In fintech investment in Indonesia or in any country, there will still be considerable risks if we are not careful. The Risk of Using Sharia Fintech in Sharia Investment:</w:t>
      </w:r>
    </w:p>
    <w:p w:rsidR="00160070" w:rsidRPr="00160070" w:rsidRDefault="00160070" w:rsidP="001474C1">
      <w:pPr>
        <w:pStyle w:val="ListParagraph"/>
        <w:numPr>
          <w:ilvl w:val="0"/>
          <w:numId w:val="9"/>
        </w:numPr>
        <w:ind w:left="709"/>
        <w:jc w:val="both"/>
        <w:rPr>
          <w:rFonts w:asciiTheme="minorHAnsi" w:hAnsiTheme="minorHAnsi" w:cstheme="minorHAnsi"/>
          <w:sz w:val="24"/>
        </w:rPr>
      </w:pPr>
      <w:r w:rsidRPr="00160070">
        <w:rPr>
          <w:rFonts w:asciiTheme="minorHAnsi" w:hAnsiTheme="minorHAnsi" w:cstheme="minorHAnsi"/>
          <w:sz w:val="24"/>
        </w:rPr>
        <w:t xml:space="preserve">Technology Risks: </w:t>
      </w:r>
    </w:p>
    <w:p w:rsidR="00160070" w:rsidRPr="00160070" w:rsidRDefault="00160070" w:rsidP="001474C1">
      <w:pPr>
        <w:pStyle w:val="ListParagraph"/>
        <w:ind w:left="709"/>
        <w:jc w:val="both"/>
        <w:rPr>
          <w:rFonts w:asciiTheme="minorHAnsi" w:eastAsia="Times New Roman" w:hAnsiTheme="minorHAnsi" w:cstheme="minorHAnsi"/>
          <w:sz w:val="24"/>
        </w:rPr>
      </w:pPr>
      <w:r w:rsidRPr="00160070">
        <w:rPr>
          <w:rFonts w:asciiTheme="minorHAnsi" w:hAnsiTheme="minorHAnsi" w:cstheme="minorHAnsi"/>
          <w:sz w:val="24"/>
        </w:rPr>
        <w:t xml:space="preserve">Sharia Fintech is vulnerable to technological risks, such as system disruptions, cyber-attacks, or other technical failures, which may affect service availability and security. </w:t>
      </w:r>
    </w:p>
    <w:p w:rsidR="00160070" w:rsidRPr="00160070" w:rsidRDefault="00160070" w:rsidP="001474C1">
      <w:pPr>
        <w:pStyle w:val="ListParagraph"/>
        <w:numPr>
          <w:ilvl w:val="0"/>
          <w:numId w:val="9"/>
        </w:numPr>
        <w:ind w:left="709"/>
        <w:jc w:val="both"/>
        <w:rPr>
          <w:rFonts w:asciiTheme="minorHAnsi" w:eastAsia="Times New Roman" w:hAnsiTheme="minorHAnsi" w:cstheme="minorHAnsi"/>
          <w:sz w:val="24"/>
        </w:rPr>
      </w:pPr>
      <w:r w:rsidRPr="00160070">
        <w:rPr>
          <w:rFonts w:asciiTheme="minorHAnsi" w:hAnsiTheme="minorHAnsi" w:cstheme="minorHAnsi"/>
          <w:sz w:val="24"/>
        </w:rPr>
        <w:t xml:space="preserve">Legal and Regulatory Risks: </w:t>
      </w:r>
    </w:p>
    <w:p w:rsidR="00160070" w:rsidRPr="00160070" w:rsidRDefault="00160070" w:rsidP="001474C1">
      <w:pPr>
        <w:pStyle w:val="ListParagraph"/>
        <w:ind w:left="709"/>
        <w:jc w:val="both"/>
        <w:rPr>
          <w:rFonts w:asciiTheme="minorHAnsi" w:hAnsiTheme="minorHAnsi" w:cstheme="minorHAnsi"/>
          <w:sz w:val="24"/>
        </w:rPr>
      </w:pPr>
      <w:r w:rsidRPr="00160070">
        <w:rPr>
          <w:rFonts w:asciiTheme="minorHAnsi" w:hAnsiTheme="minorHAnsi" w:cstheme="minorHAnsi"/>
          <w:sz w:val="24"/>
        </w:rPr>
        <w:t xml:space="preserve">Changes in financial and sharia-related rules and regulations may affect Fintech Syariah's operations. This risk involves legal uncertainty that may impact business operations and sustainability. </w:t>
      </w:r>
    </w:p>
    <w:p w:rsidR="00160070" w:rsidRPr="00160070" w:rsidRDefault="00160070" w:rsidP="001474C1">
      <w:pPr>
        <w:pStyle w:val="ListParagraph"/>
        <w:numPr>
          <w:ilvl w:val="0"/>
          <w:numId w:val="9"/>
        </w:numPr>
        <w:ind w:left="709"/>
        <w:jc w:val="both"/>
        <w:rPr>
          <w:rFonts w:asciiTheme="minorHAnsi" w:eastAsia="Times New Roman" w:hAnsiTheme="minorHAnsi" w:cstheme="minorHAnsi"/>
          <w:sz w:val="24"/>
        </w:rPr>
      </w:pPr>
      <w:r w:rsidRPr="00160070">
        <w:rPr>
          <w:rFonts w:asciiTheme="minorHAnsi" w:hAnsiTheme="minorHAnsi" w:cstheme="minorHAnsi"/>
          <w:sz w:val="24"/>
        </w:rPr>
        <w:t xml:space="preserve">Market Uncertainty: </w:t>
      </w:r>
    </w:p>
    <w:p w:rsidR="001474C1" w:rsidRDefault="00160070" w:rsidP="001474C1">
      <w:pPr>
        <w:pStyle w:val="ListParagraph"/>
        <w:ind w:left="709"/>
        <w:jc w:val="both"/>
        <w:rPr>
          <w:rFonts w:asciiTheme="minorHAnsi" w:hAnsiTheme="minorHAnsi" w:cstheme="minorHAnsi"/>
          <w:sz w:val="24"/>
        </w:rPr>
      </w:pPr>
      <w:r w:rsidRPr="00160070">
        <w:rPr>
          <w:rFonts w:asciiTheme="minorHAnsi" w:hAnsiTheme="minorHAnsi" w:cstheme="minorHAnsi"/>
          <w:sz w:val="24"/>
        </w:rPr>
        <w:t xml:space="preserve">Financial markets are always prone to fluctuations and uncertainties. Changes in global and regional economic conditions may affect the value of Islamic investments, and investors should be prepared to deal with this risk. </w:t>
      </w:r>
    </w:p>
    <w:p w:rsidR="00160070" w:rsidRPr="00160070" w:rsidRDefault="00160070" w:rsidP="005A0ACB">
      <w:pPr>
        <w:pStyle w:val="ListParagraph"/>
        <w:numPr>
          <w:ilvl w:val="0"/>
          <w:numId w:val="9"/>
        </w:numPr>
        <w:ind w:left="709"/>
        <w:jc w:val="both"/>
        <w:rPr>
          <w:rFonts w:asciiTheme="minorHAnsi" w:eastAsia="Times New Roman" w:hAnsiTheme="minorHAnsi" w:cstheme="minorHAnsi"/>
          <w:sz w:val="24"/>
        </w:rPr>
      </w:pPr>
      <w:r w:rsidRPr="00160070">
        <w:rPr>
          <w:rFonts w:asciiTheme="minorHAnsi" w:hAnsiTheme="minorHAnsi" w:cstheme="minorHAnsi"/>
          <w:sz w:val="24"/>
        </w:rPr>
        <w:t xml:space="preserve">Quality of Risk Management: </w:t>
      </w:r>
    </w:p>
    <w:p w:rsidR="00160070" w:rsidRPr="00160070" w:rsidRDefault="00160070" w:rsidP="005A0ACB">
      <w:pPr>
        <w:pStyle w:val="ListParagraph"/>
        <w:ind w:left="709"/>
        <w:jc w:val="both"/>
        <w:rPr>
          <w:rFonts w:asciiTheme="minorHAnsi" w:eastAsia="Times New Roman" w:hAnsiTheme="minorHAnsi" w:cstheme="minorHAnsi"/>
          <w:sz w:val="24"/>
        </w:rPr>
      </w:pPr>
      <w:r w:rsidRPr="00160070">
        <w:rPr>
          <w:rFonts w:asciiTheme="minorHAnsi" w:hAnsiTheme="minorHAnsi" w:cstheme="minorHAnsi"/>
          <w:sz w:val="24"/>
        </w:rPr>
        <w:t xml:space="preserve">The success of Islamic investment through Fintech depends on the quality of risk management performed by the service provider. Errors in risk management can impact the safety and sustainability of the investment. </w:t>
      </w:r>
    </w:p>
    <w:p w:rsidR="00160070" w:rsidRPr="00160070" w:rsidRDefault="00160070" w:rsidP="005A0ACB">
      <w:pPr>
        <w:pStyle w:val="ListParagraph"/>
        <w:numPr>
          <w:ilvl w:val="0"/>
          <w:numId w:val="9"/>
        </w:numPr>
        <w:ind w:left="709"/>
        <w:jc w:val="both"/>
        <w:rPr>
          <w:rFonts w:asciiTheme="minorHAnsi" w:eastAsia="Times New Roman" w:hAnsiTheme="minorHAnsi" w:cstheme="minorHAnsi"/>
          <w:sz w:val="24"/>
        </w:rPr>
      </w:pPr>
      <w:r w:rsidRPr="00160070">
        <w:rPr>
          <w:rFonts w:asciiTheme="minorHAnsi" w:hAnsiTheme="minorHAnsi" w:cstheme="minorHAnsi"/>
          <w:sz w:val="24"/>
        </w:rPr>
        <w:t xml:space="preserve">Performance Uncertainty: </w:t>
      </w:r>
    </w:p>
    <w:p w:rsidR="00160070" w:rsidRDefault="00160070" w:rsidP="005A0ACB">
      <w:pPr>
        <w:pStyle w:val="ListParagraph"/>
        <w:ind w:left="709"/>
        <w:jc w:val="both"/>
        <w:rPr>
          <w:rFonts w:asciiTheme="minorHAnsi" w:hAnsiTheme="minorHAnsi" w:cstheme="minorHAnsi"/>
          <w:sz w:val="24"/>
        </w:rPr>
      </w:pPr>
      <w:r w:rsidRPr="00160070">
        <w:rPr>
          <w:rFonts w:asciiTheme="minorHAnsi" w:hAnsiTheme="minorHAnsi" w:cstheme="minorHAnsi"/>
          <w:sz w:val="24"/>
        </w:rPr>
        <w:t xml:space="preserve">The performance of Islamic investments can be affected by certain factors that may be difficult to predict. Although Islamic instruments have clear principles, uncertainty remains in market performance. </w:t>
      </w:r>
    </w:p>
    <w:p w:rsidR="005A0ACB" w:rsidRPr="00160070" w:rsidRDefault="005A0ACB" w:rsidP="005A0ACB">
      <w:pPr>
        <w:pStyle w:val="ListParagraph"/>
        <w:ind w:left="709"/>
        <w:jc w:val="both"/>
        <w:rPr>
          <w:rFonts w:asciiTheme="minorHAnsi" w:eastAsia="Times New Roman" w:hAnsiTheme="minorHAnsi" w:cstheme="minorHAnsi"/>
          <w:sz w:val="24"/>
        </w:rPr>
      </w:pPr>
    </w:p>
    <w:p w:rsidR="00160070" w:rsidRPr="005A0ACB" w:rsidRDefault="00160070" w:rsidP="005A0ACB">
      <w:pPr>
        <w:pStyle w:val="ListParagraph"/>
        <w:numPr>
          <w:ilvl w:val="0"/>
          <w:numId w:val="9"/>
        </w:numPr>
        <w:ind w:left="709"/>
        <w:jc w:val="both"/>
        <w:rPr>
          <w:rFonts w:asciiTheme="minorHAnsi" w:eastAsia="Times New Roman" w:hAnsiTheme="minorHAnsi" w:cstheme="minorHAnsi"/>
          <w:sz w:val="24"/>
        </w:rPr>
      </w:pPr>
      <w:r w:rsidRPr="00160070">
        <w:rPr>
          <w:rFonts w:asciiTheme="minorHAnsi" w:hAnsiTheme="minorHAnsi" w:cstheme="minorHAnsi"/>
          <w:sz w:val="24"/>
        </w:rPr>
        <w:lastRenderedPageBreak/>
        <w:t xml:space="preserve">Uncertainty in Islamic Accounting: </w:t>
      </w:r>
      <w:r w:rsidRPr="005A0ACB">
        <w:rPr>
          <w:rFonts w:asciiTheme="minorHAnsi" w:hAnsiTheme="minorHAnsi" w:cstheme="minorHAnsi"/>
          <w:sz w:val="24"/>
        </w:rPr>
        <w:t>Although Islamic accounting standards exist, interpretations of these principles can vary</w:t>
      </w:r>
      <w:r w:rsidR="004F4203" w:rsidRPr="005A0ACB">
        <w:rPr>
          <w:rFonts w:asciiTheme="minorHAnsi" w:hAnsiTheme="minorHAnsi" w:cstheme="minorHAnsi"/>
          <w:sz w:val="24"/>
        </w:rPr>
        <w:t xml:space="preserve"> </w:t>
      </w:r>
      <w:r w:rsidR="004F4203" w:rsidRPr="005A0ACB">
        <w:rPr>
          <w:rFonts w:asciiTheme="minorHAnsi" w:hAnsiTheme="minorHAnsi" w:cstheme="minorHAnsi"/>
          <w:sz w:val="24"/>
        </w:rPr>
        <w:fldChar w:fldCharType="begin" w:fldLock="1"/>
      </w:r>
      <w:r w:rsidR="00B707B4" w:rsidRPr="005A0ACB">
        <w:rPr>
          <w:rFonts w:asciiTheme="minorHAnsi" w:hAnsiTheme="minorHAnsi" w:cstheme="minorHAnsi"/>
          <w:sz w:val="24"/>
        </w:rPr>
        <w:instrText>ADDIN CSL_CITATION {"citationItems":[{"id":"ITEM-1","itemData":{"ISBN":"9811272700","author":[{"dropping-particle":"","family":"Azid","given":"Toseef","non-dropping-particle":"","parse-names":false,"suffix":""},{"dropping-particle":"","family":"Antonio","given":"Muhammad Syafii","non-dropping-particle":"","parse-names":false,"suffix":""},{"dropping-particle":"","family":"Kayani","given":"Zafar","non-dropping-particle":"","parse-names":false,"suffix":""},{"dropping-particle":"","family":"Mukhlisin","given":"Murniati","non-dropping-particle":"","parse-names":false,"suffix":""}],"id":"ITEM-1","issued":{"date-parts":[["2023"]]},"publisher":"World Scientific","title":"Islamic Economic Institutions in Indonesia: Are They Successful in Achieving the Maqasad-al-shari'ah","type":"book","volume":"2"},"uris":["http://www.mendeley.com/documents/?uuid=7b699c0e-fca3-47ca-b7b6-958b940e5bcd"]}],"mendeley":{"formattedCitation":"(Azid et al., 2023)","plainTextFormattedCitation":"(Azid et al., 2023)","previouslyFormattedCitation":"(Azid et al., 2023)"},"properties":{"noteIndex":0},"schema":"https://github.com/citation-style-language/schema/raw/master/csl-citation.json"}</w:instrText>
      </w:r>
      <w:r w:rsidR="004F4203" w:rsidRPr="005A0ACB">
        <w:rPr>
          <w:rFonts w:asciiTheme="minorHAnsi" w:hAnsiTheme="minorHAnsi" w:cstheme="minorHAnsi"/>
          <w:sz w:val="24"/>
        </w:rPr>
        <w:fldChar w:fldCharType="separate"/>
      </w:r>
      <w:r w:rsidR="004F4203" w:rsidRPr="005A0ACB">
        <w:rPr>
          <w:rFonts w:asciiTheme="minorHAnsi" w:hAnsiTheme="minorHAnsi" w:cstheme="minorHAnsi"/>
          <w:noProof/>
          <w:sz w:val="24"/>
        </w:rPr>
        <w:t>(Azid et al., 2023)</w:t>
      </w:r>
      <w:r w:rsidR="004F4203" w:rsidRPr="005A0ACB">
        <w:rPr>
          <w:rFonts w:asciiTheme="minorHAnsi" w:hAnsiTheme="minorHAnsi" w:cstheme="minorHAnsi"/>
          <w:sz w:val="24"/>
        </w:rPr>
        <w:fldChar w:fldCharType="end"/>
      </w:r>
      <w:r w:rsidRPr="005A0ACB">
        <w:rPr>
          <w:rFonts w:asciiTheme="minorHAnsi" w:hAnsiTheme="minorHAnsi" w:cstheme="minorHAnsi"/>
          <w:sz w:val="24"/>
        </w:rPr>
        <w:t xml:space="preserve">. This can create uncertainty in financial valuation and reporting which impacts investment decision-making. </w:t>
      </w:r>
    </w:p>
    <w:p w:rsidR="00160070" w:rsidRPr="00160070" w:rsidRDefault="00160070" w:rsidP="005A0ACB">
      <w:pPr>
        <w:pStyle w:val="ListParagraph"/>
        <w:numPr>
          <w:ilvl w:val="0"/>
          <w:numId w:val="9"/>
        </w:numPr>
        <w:ind w:left="709"/>
        <w:jc w:val="both"/>
        <w:rPr>
          <w:rFonts w:asciiTheme="minorHAnsi" w:eastAsia="Times New Roman" w:hAnsiTheme="minorHAnsi" w:cstheme="minorHAnsi"/>
          <w:sz w:val="24"/>
        </w:rPr>
      </w:pPr>
      <w:r w:rsidRPr="00160070">
        <w:rPr>
          <w:rFonts w:asciiTheme="minorHAnsi" w:hAnsiTheme="minorHAnsi" w:cstheme="minorHAnsi"/>
          <w:sz w:val="24"/>
        </w:rPr>
        <w:t xml:space="preserve">Investor Behavior Risk: </w:t>
      </w:r>
    </w:p>
    <w:p w:rsidR="00406B2C" w:rsidRPr="005A0ACB" w:rsidRDefault="00160070" w:rsidP="005A0ACB">
      <w:pPr>
        <w:pStyle w:val="ListParagraph"/>
        <w:ind w:left="709"/>
        <w:jc w:val="both"/>
        <w:rPr>
          <w:rFonts w:asciiTheme="minorHAnsi" w:eastAsia="Times New Roman" w:hAnsiTheme="minorHAnsi" w:cstheme="minorHAnsi"/>
          <w:sz w:val="24"/>
        </w:rPr>
      </w:pPr>
      <w:r w:rsidRPr="00160070">
        <w:rPr>
          <w:rFonts w:asciiTheme="minorHAnsi" w:hAnsiTheme="minorHAnsi" w:cstheme="minorHAnsi"/>
          <w:sz w:val="24"/>
        </w:rPr>
        <w:t>Investment decisions influenced by emotions or impulsive actions of investors may result in undesirable risks. Sharia Fintech needs to manage this risk through education and complete information.</w:t>
      </w:r>
    </w:p>
    <w:p w:rsidR="00406B2C" w:rsidRPr="00160070" w:rsidRDefault="009D2EA3" w:rsidP="00160070">
      <w:pPr>
        <w:ind w:firstLine="720"/>
        <w:jc w:val="both"/>
        <w:rPr>
          <w:rFonts w:asciiTheme="minorHAnsi" w:eastAsia="Times New Roman" w:hAnsiTheme="minorHAnsi" w:cstheme="minorHAnsi"/>
          <w:b/>
          <w:bCs/>
        </w:rPr>
      </w:pPr>
      <w:r w:rsidRPr="00160070">
        <w:rPr>
          <w:rFonts w:asciiTheme="minorHAnsi" w:hAnsiTheme="minorHAnsi" w:cstheme="minorHAnsi"/>
        </w:rPr>
        <w:t>The development of fintech investment in Indonesia is very promising. But only within a few years, due to a significant increase in the number of investors</w:t>
      </w:r>
      <w:r w:rsidR="000640B8">
        <w:rPr>
          <w:rFonts w:asciiTheme="minorHAnsi" w:hAnsiTheme="minorHAnsi" w:cstheme="minorHAnsi"/>
        </w:rPr>
        <w:t xml:space="preserve"> </w:t>
      </w:r>
      <w:r w:rsidR="000640B8">
        <w:rPr>
          <w:rFonts w:asciiTheme="minorHAnsi" w:hAnsiTheme="minorHAnsi" w:cstheme="minorHAnsi"/>
        </w:rPr>
        <w:fldChar w:fldCharType="begin" w:fldLock="1"/>
      </w:r>
      <w:r w:rsidR="006D4FE1">
        <w:rPr>
          <w:rFonts w:asciiTheme="minorHAnsi" w:hAnsiTheme="minorHAnsi" w:cstheme="minorHAnsi"/>
        </w:rPr>
        <w:instrText>ADDIN CSL_CITATION {"citationItems":[{"id":"ITEM-1","itemData":{"ISSN":"1754-243X","author":[{"dropping-particle":"","family":"Kharisma","given":"Dona Budi","non-dropping-particle":"","parse-names":false,"suffix":""}],"container-title":"International Journal of Law and Management","id":"ITEM-1","issue":"3","issued":{"date-parts":[["2021"]]},"page":"320-331","publisher":"Emerald Publishing Limited","title":"Urgency of financial technology (Fintech) laws in Indonesia","type":"article-journal","volume":"63"},"uris":["http://www.mendeley.com/documents/?uuid=37e19fc4-f225-4370-b1ad-a902748b1879"]}],"mendeley":{"formattedCitation":"(Kharisma, 2021)","plainTextFormattedCitation":"(Kharisma, 2021)","previouslyFormattedCitation":"(Kharisma, 2021)"},"properties":{"noteIndex":0},"schema":"https://github.com/citation-style-language/schema/raw/master/csl-citation.json"}</w:instrText>
      </w:r>
      <w:r w:rsidR="000640B8">
        <w:rPr>
          <w:rFonts w:asciiTheme="minorHAnsi" w:hAnsiTheme="minorHAnsi" w:cstheme="minorHAnsi"/>
        </w:rPr>
        <w:fldChar w:fldCharType="separate"/>
      </w:r>
      <w:r w:rsidR="000640B8" w:rsidRPr="000640B8">
        <w:rPr>
          <w:rFonts w:asciiTheme="minorHAnsi" w:hAnsiTheme="minorHAnsi" w:cstheme="minorHAnsi"/>
          <w:noProof/>
        </w:rPr>
        <w:t>(Kharisma, 2021)</w:t>
      </w:r>
      <w:r w:rsidR="000640B8">
        <w:rPr>
          <w:rFonts w:asciiTheme="minorHAnsi" w:hAnsiTheme="minorHAnsi" w:cstheme="minorHAnsi"/>
        </w:rPr>
        <w:fldChar w:fldCharType="end"/>
      </w:r>
      <w:r w:rsidRPr="00160070">
        <w:rPr>
          <w:rFonts w:asciiTheme="minorHAnsi" w:hAnsiTheme="minorHAnsi" w:cstheme="minorHAnsi"/>
        </w:rPr>
        <w:t>. The continuous improvement in terms of systems, technicalities, and regulations can also help fintech investments become better and more profitable</w:t>
      </w:r>
      <w:r w:rsidR="00AB255E">
        <w:rPr>
          <w:rFonts w:asciiTheme="minorHAnsi" w:hAnsiTheme="minorHAnsi" w:cstheme="minorHAnsi"/>
        </w:rPr>
        <w:t xml:space="preserve"> </w:t>
      </w:r>
      <w:r w:rsidR="00AB255E">
        <w:rPr>
          <w:rFonts w:asciiTheme="minorHAnsi" w:hAnsiTheme="minorHAnsi" w:cstheme="minorHAnsi"/>
        </w:rPr>
        <w:fldChar w:fldCharType="begin" w:fldLock="1"/>
      </w:r>
      <w:r w:rsidR="004522FC">
        <w:rPr>
          <w:rFonts w:asciiTheme="minorHAnsi" w:hAnsiTheme="minorHAnsi" w:cstheme="minorHAnsi"/>
        </w:rPr>
        <w:instrText>ADDIN CSL_CITATION {"citationItems":[{"id":"ITEM-1","itemData":{"author":[{"dropping-particle":"","family":"Abikoye","given":"Bibitayo Ebunlomo","non-dropping-particle":"","parse-names":false,"suffix":""},{"dropping-particle":"","family":"Umeorah","given":"Stanley Chidozie","non-dropping-particle":"","parse-names":false,"suffix":""},{"dropping-particle":"","family":"Adelaja","given":"Adesola Oluwatosin","non-dropping-particle":"","parse-names":false,"suffix":""},{"dropping-particle":"","family":"Ayodele","given":"Oluwatoyin","non-dropping-particle":"","parse-names":false,"suffix":""},{"dropping-particle":"","family":"Ogunsuji","given":"Yewande Mariam","non-dropping-particle":"","parse-names":false,"suffix":""}],"container-title":"World Journal of Advanced Research and Reviews","id":"ITEM-1","issue":"1","issued":{"date-parts":[["2024"]]},"page":"1830-1844","title":"Regulatory compliance and efficiency in financial technologies: Challenges and innovations","type":"article-journal","volume":"23"},"uris":["http://www.mendeley.com/documents/?uuid=7292680b-bbb2-4dc8-bb25-036276100985"]}],"mendeley":{"formattedCitation":"(Abikoye et al., 2024)","plainTextFormattedCitation":"(Abikoye et al., 2024)","previouslyFormattedCitation":"(Abikoye et al., 2024)"},"properties":{"noteIndex":0},"schema":"https://github.com/citation-style-language/schema/raw/master/csl-citation.json"}</w:instrText>
      </w:r>
      <w:r w:rsidR="00AB255E">
        <w:rPr>
          <w:rFonts w:asciiTheme="minorHAnsi" w:hAnsiTheme="minorHAnsi" w:cstheme="minorHAnsi"/>
        </w:rPr>
        <w:fldChar w:fldCharType="separate"/>
      </w:r>
      <w:r w:rsidR="00AB255E" w:rsidRPr="00AB255E">
        <w:rPr>
          <w:rFonts w:asciiTheme="minorHAnsi" w:hAnsiTheme="minorHAnsi" w:cstheme="minorHAnsi"/>
          <w:noProof/>
        </w:rPr>
        <w:t>(Abikoye et al., 2024)</w:t>
      </w:r>
      <w:r w:rsidR="00AB255E">
        <w:rPr>
          <w:rFonts w:asciiTheme="minorHAnsi" w:hAnsiTheme="minorHAnsi" w:cstheme="minorHAnsi"/>
        </w:rPr>
        <w:fldChar w:fldCharType="end"/>
      </w:r>
      <w:r w:rsidRPr="00160070">
        <w:rPr>
          <w:rFonts w:asciiTheme="minorHAnsi" w:hAnsiTheme="minorHAnsi" w:cstheme="minorHAnsi"/>
        </w:rPr>
        <w:t>. Looking from a sharia perspective, any adoption of methods, services or settlements in Islamic finance is allowed and encouraged as long as it does not deviate from the concept of sharia based on Al-Muamalah Al-Ibahah. The phenomenon of the sophistication of Fintech technology today, is expected to be able to accommodate the main concepts and principles in sharia</w:t>
      </w:r>
      <w:r w:rsidR="006D4FE1">
        <w:rPr>
          <w:rFonts w:asciiTheme="minorHAnsi" w:hAnsiTheme="minorHAnsi" w:cstheme="minorHAnsi"/>
        </w:rPr>
        <w:t xml:space="preserve"> </w:t>
      </w:r>
      <w:r w:rsidR="006D4FE1">
        <w:rPr>
          <w:rFonts w:asciiTheme="minorHAnsi" w:hAnsiTheme="minorHAnsi" w:cstheme="minorHAnsi"/>
        </w:rPr>
        <w:fldChar w:fldCharType="begin" w:fldLock="1"/>
      </w:r>
      <w:r w:rsidR="006D4FE1">
        <w:rPr>
          <w:rFonts w:asciiTheme="minorHAnsi" w:hAnsiTheme="minorHAnsi" w:cstheme="minorHAnsi"/>
        </w:rPr>
        <w:instrText>ADDIN CSL_CITATION {"citationItems":[{"id":"ITEM-1","itemData":{"ISSN":"2149-8393","author":[{"dropping-particle":"","family":"Kılıç","given":"Gökmen","non-dropping-particle":"","parse-names":false,"suffix":""},{"dropping-particle":"","family":"Türkan","given":"Yavuz","non-dropping-particle":"","parse-names":false,"suffix":""}],"container-title":"International Journal of Islamic Economics and Finance Studies","id":"ITEM-1","issue":"2","issued":{"date-parts":[["2023"]]},"page":"212-236","publisher":"Politik Ekonomik ve Sosyal Araştırmalar Merkezi","title":"The Emergence of Islamic Fintech and Its Applications","type":"article-journal","volume":"9"},"uris":["http://www.mendeley.com/documents/?uuid=5be24bab-991a-46aa-95c5-2a487d7fa289"]}],"mendeley":{"formattedCitation":"(Kılıç &amp; Türkan, 2023)","plainTextFormattedCitation":"(Kılıç &amp; Türkan, 2023)","previouslyFormattedCitation":"(Kılıç &amp; Türkan, 2023)"},"properties":{"noteIndex":0},"schema":"https://github.com/citation-style-language/schema/raw/master/csl-citation.json"}</w:instrText>
      </w:r>
      <w:r w:rsidR="006D4FE1">
        <w:rPr>
          <w:rFonts w:asciiTheme="minorHAnsi" w:hAnsiTheme="minorHAnsi" w:cstheme="minorHAnsi"/>
        </w:rPr>
        <w:fldChar w:fldCharType="separate"/>
      </w:r>
      <w:r w:rsidR="006D4FE1" w:rsidRPr="006D4FE1">
        <w:rPr>
          <w:rFonts w:asciiTheme="minorHAnsi" w:hAnsiTheme="minorHAnsi" w:cstheme="minorHAnsi"/>
          <w:noProof/>
        </w:rPr>
        <w:t>(Kılıç &amp; Türkan, 2023)</w:t>
      </w:r>
      <w:r w:rsidR="006D4FE1">
        <w:rPr>
          <w:rFonts w:asciiTheme="minorHAnsi" w:hAnsiTheme="minorHAnsi" w:cstheme="minorHAnsi"/>
        </w:rPr>
        <w:fldChar w:fldCharType="end"/>
      </w:r>
      <w:r w:rsidRPr="00160070">
        <w:rPr>
          <w:rFonts w:asciiTheme="minorHAnsi" w:hAnsiTheme="minorHAnsi" w:cstheme="minorHAnsi"/>
        </w:rPr>
        <w:t>. To ensure Sharia Compliance (SHC) is fulfilled, it is required to build a synergy of technology experts, financial experts, and scholars, to continue to support the growth and development of Islamic financial institutions. Every transaction through financial technology must always follow the rules of the sharia concept, both contracts, pillars and conditions in order to always avoid things that harm the parties to the transaction, such as Mayshir, Gharar</w:t>
      </w:r>
      <w:r w:rsidR="006432C1">
        <w:rPr>
          <w:rFonts w:asciiTheme="minorHAnsi" w:hAnsiTheme="minorHAnsi" w:cstheme="minorHAnsi"/>
        </w:rPr>
        <w:t>, and Ribha</w:t>
      </w:r>
      <w:r w:rsidRPr="00160070">
        <w:rPr>
          <w:rFonts w:asciiTheme="minorHAnsi" w:hAnsiTheme="minorHAnsi" w:cstheme="minorHAnsi"/>
        </w:rPr>
        <w:t>. In addition, the presence of Fintech is expected to provide financial solutions in order to achieve the goal of Maqashidusal sharia to create benefit, avoid Mafsadah and Mashaqqah.</w:t>
      </w:r>
    </w:p>
    <w:p w:rsidR="00406B2C" w:rsidRPr="00160070" w:rsidRDefault="00406B2C">
      <w:pPr>
        <w:jc w:val="both"/>
        <w:rPr>
          <w:rFonts w:asciiTheme="minorHAnsi" w:eastAsia="Times New Roman" w:hAnsiTheme="minorHAnsi" w:cstheme="minorHAnsi"/>
          <w:b/>
          <w:bCs/>
        </w:rPr>
      </w:pPr>
    </w:p>
    <w:p w:rsidR="00406B2C" w:rsidRPr="005C1900" w:rsidRDefault="009D2EA3">
      <w:pPr>
        <w:jc w:val="both"/>
        <w:rPr>
          <w:rFonts w:asciiTheme="minorHAnsi" w:eastAsia="Times New Roman" w:hAnsiTheme="minorHAnsi" w:cstheme="minorHAnsi"/>
          <w:b/>
          <w:bCs/>
          <w:color w:val="4F81BD" w:themeColor="accent1"/>
        </w:rPr>
      </w:pPr>
      <w:r w:rsidRPr="005C1900">
        <w:rPr>
          <w:rFonts w:asciiTheme="minorHAnsi" w:hAnsiTheme="minorHAnsi" w:cstheme="minorHAnsi"/>
          <w:b/>
          <w:bCs/>
          <w:color w:val="4F81BD" w:themeColor="accent1"/>
        </w:rPr>
        <w:t>Conclusion</w:t>
      </w:r>
    </w:p>
    <w:p w:rsidR="001474C1" w:rsidRPr="005A0ACB" w:rsidRDefault="009D2EA3" w:rsidP="005A0ACB">
      <w:pPr>
        <w:ind w:firstLine="720"/>
        <w:jc w:val="both"/>
        <w:rPr>
          <w:rFonts w:asciiTheme="minorHAnsi" w:eastAsia="Times New Roman" w:hAnsiTheme="minorHAnsi" w:cstheme="minorHAnsi"/>
        </w:rPr>
      </w:pPr>
      <w:r w:rsidRPr="00160070">
        <w:rPr>
          <w:rFonts w:asciiTheme="minorHAnsi" w:hAnsiTheme="minorHAnsi" w:cstheme="minorHAnsi"/>
        </w:rPr>
        <w:t>Based on the explanation above, fintech technology is currently well received by the Indonesian people because of its easy use. In addition, the presence of Fintech is expected to provide financial solutions in order to achieve the goals of Maqashidusal sharia to create benefit, avoid Mafsadah and Mashaqqah. The development of fintech investment in Indonesia, is an innovation that is currently in great demand by the Indonesian people, because it is easy to use and very practical to use in transactions or investing through these digital platforms.</w:t>
      </w:r>
    </w:p>
    <w:p w:rsidR="00406B2C" w:rsidRPr="00160070" w:rsidRDefault="00406B2C">
      <w:pPr>
        <w:jc w:val="both"/>
        <w:rPr>
          <w:rFonts w:asciiTheme="minorHAnsi" w:eastAsia="Times New Roman" w:hAnsiTheme="minorHAnsi" w:cstheme="minorHAnsi"/>
          <w:b/>
          <w:bCs/>
        </w:rPr>
      </w:pPr>
      <w:bookmarkStart w:id="0" w:name="_GoBack"/>
      <w:bookmarkEnd w:id="0"/>
    </w:p>
    <w:p w:rsidR="00406B2C" w:rsidRPr="005C1900" w:rsidRDefault="009D2EA3" w:rsidP="00146637">
      <w:pPr>
        <w:rPr>
          <w:rFonts w:asciiTheme="minorHAnsi" w:hAnsiTheme="minorHAnsi" w:cstheme="minorHAnsi"/>
          <w:b/>
          <w:bCs/>
          <w:color w:val="4F81BD" w:themeColor="accent1"/>
        </w:rPr>
      </w:pPr>
      <w:r w:rsidRPr="005C1900">
        <w:rPr>
          <w:rFonts w:asciiTheme="minorHAnsi" w:hAnsiTheme="minorHAnsi" w:cstheme="minorHAnsi"/>
          <w:b/>
          <w:bCs/>
          <w:color w:val="4F81BD" w:themeColor="accent1"/>
        </w:rPr>
        <w:t>Bibliography</w:t>
      </w:r>
    </w:p>
    <w:p w:rsidR="007A0B4A" w:rsidRDefault="007A0B4A">
      <w:pPr>
        <w:ind w:firstLine="567"/>
        <w:jc w:val="center"/>
        <w:rPr>
          <w:rFonts w:asciiTheme="minorHAnsi" w:hAnsiTheme="minorHAnsi" w:cstheme="minorHAnsi"/>
          <w:b/>
          <w:bCs/>
        </w:rPr>
      </w:pPr>
    </w:p>
    <w:p w:rsidR="00A07022" w:rsidRPr="00A07022" w:rsidRDefault="006753A2" w:rsidP="00A07022">
      <w:pPr>
        <w:widowControl w:val="0"/>
        <w:autoSpaceDE w:val="0"/>
        <w:autoSpaceDN w:val="0"/>
        <w:adjustRightInd w:val="0"/>
        <w:ind w:left="480" w:hanging="480"/>
        <w:jc w:val="both"/>
        <w:rPr>
          <w:rFonts w:cs="Calibri"/>
          <w:noProof/>
        </w:rPr>
      </w:pPr>
      <w:r>
        <w:rPr>
          <w:rFonts w:asciiTheme="minorHAnsi" w:hAnsiTheme="minorHAnsi" w:cstheme="minorHAnsi"/>
          <w:b/>
          <w:bCs/>
        </w:rPr>
        <w:fldChar w:fldCharType="begin" w:fldLock="1"/>
      </w:r>
      <w:r>
        <w:rPr>
          <w:rFonts w:asciiTheme="minorHAnsi" w:hAnsiTheme="minorHAnsi" w:cstheme="minorHAnsi"/>
          <w:b/>
          <w:bCs/>
        </w:rPr>
        <w:instrText xml:space="preserve">ADDIN Mendeley Bibliography CSL_BIBLIOGRAPHY </w:instrText>
      </w:r>
      <w:r>
        <w:rPr>
          <w:rFonts w:asciiTheme="minorHAnsi" w:hAnsiTheme="minorHAnsi" w:cstheme="minorHAnsi"/>
          <w:b/>
          <w:bCs/>
        </w:rPr>
        <w:fldChar w:fldCharType="separate"/>
      </w:r>
      <w:r w:rsidR="00A07022" w:rsidRPr="00A07022">
        <w:rPr>
          <w:rFonts w:cs="Calibri"/>
          <w:noProof/>
        </w:rPr>
        <w:t xml:space="preserve">Abikoye, B. E., Umeorah, S. C., Adelaja, A. O., Ayodele, O., &amp; Ogunsuji, Y. M. (2024). Regulatory compliance and efficiency in financial technologies: Challenges and innovations. </w:t>
      </w:r>
      <w:r w:rsidR="00A07022" w:rsidRPr="00A07022">
        <w:rPr>
          <w:rFonts w:cs="Calibri"/>
          <w:i/>
          <w:iCs/>
          <w:noProof/>
        </w:rPr>
        <w:t>World Journal of Advanced Research and Reviews</w:t>
      </w:r>
      <w:r w:rsidR="00A07022" w:rsidRPr="00A07022">
        <w:rPr>
          <w:rFonts w:cs="Calibri"/>
          <w:noProof/>
        </w:rPr>
        <w:t xml:space="preserve">, </w:t>
      </w:r>
      <w:r w:rsidR="00A07022" w:rsidRPr="00A07022">
        <w:rPr>
          <w:rFonts w:cs="Calibri"/>
          <w:i/>
          <w:iCs/>
          <w:noProof/>
        </w:rPr>
        <w:t>23</w:t>
      </w:r>
      <w:r w:rsidR="00A07022" w:rsidRPr="00A07022">
        <w:rPr>
          <w:rFonts w:cs="Calibri"/>
          <w:noProof/>
        </w:rPr>
        <w:t>(1), 1830–1844.</w:t>
      </w:r>
    </w:p>
    <w:p w:rsidR="00A07022" w:rsidRPr="00A07022" w:rsidRDefault="00A07022" w:rsidP="00A07022">
      <w:pPr>
        <w:widowControl w:val="0"/>
        <w:autoSpaceDE w:val="0"/>
        <w:autoSpaceDN w:val="0"/>
        <w:adjustRightInd w:val="0"/>
        <w:ind w:left="480" w:hanging="480"/>
        <w:jc w:val="both"/>
        <w:rPr>
          <w:rFonts w:cs="Calibri"/>
          <w:noProof/>
        </w:rPr>
      </w:pPr>
      <w:r w:rsidRPr="00A07022">
        <w:rPr>
          <w:rFonts w:cs="Calibri"/>
          <w:noProof/>
        </w:rPr>
        <w:t xml:space="preserve">Ahmad, T., Zhu, H., Zhang, D., Tariq, R., Bassam, A., Ullah, F., AlGhamdi, A. S., &amp; Alshamrani, S. S. (2022). Energetics Systems and artificial intelligence: Applications of industry 4.0. </w:t>
      </w:r>
      <w:r w:rsidRPr="00A07022">
        <w:rPr>
          <w:rFonts w:cs="Calibri"/>
          <w:i/>
          <w:iCs/>
          <w:noProof/>
        </w:rPr>
        <w:t>Energy Reports</w:t>
      </w:r>
      <w:r w:rsidRPr="00A07022">
        <w:rPr>
          <w:rFonts w:cs="Calibri"/>
          <w:noProof/>
        </w:rPr>
        <w:t xml:space="preserve">, </w:t>
      </w:r>
      <w:r w:rsidRPr="00A07022">
        <w:rPr>
          <w:rFonts w:cs="Calibri"/>
          <w:i/>
          <w:iCs/>
          <w:noProof/>
        </w:rPr>
        <w:t>8</w:t>
      </w:r>
      <w:r w:rsidRPr="00A07022">
        <w:rPr>
          <w:rFonts w:cs="Calibri"/>
          <w:noProof/>
        </w:rPr>
        <w:t>, 334–361.</w:t>
      </w:r>
    </w:p>
    <w:p w:rsidR="00A07022" w:rsidRPr="00A07022" w:rsidRDefault="00A07022" w:rsidP="00A07022">
      <w:pPr>
        <w:widowControl w:val="0"/>
        <w:autoSpaceDE w:val="0"/>
        <w:autoSpaceDN w:val="0"/>
        <w:adjustRightInd w:val="0"/>
        <w:ind w:left="480" w:hanging="480"/>
        <w:jc w:val="both"/>
        <w:rPr>
          <w:rFonts w:cs="Calibri"/>
          <w:noProof/>
        </w:rPr>
      </w:pPr>
      <w:r w:rsidRPr="00A07022">
        <w:rPr>
          <w:rFonts w:cs="Calibri"/>
          <w:noProof/>
        </w:rPr>
        <w:t xml:space="preserve">Ajouz, M., &amp; Abuamria, F. (2023). Unveiling the potential of the Islamic fintech ecosystem in emerging markets. </w:t>
      </w:r>
      <w:r w:rsidRPr="00A07022">
        <w:rPr>
          <w:rFonts w:cs="Calibri"/>
          <w:i/>
          <w:iCs/>
          <w:noProof/>
        </w:rPr>
        <w:t>Al Qasimia University Journal of Islamic Economics</w:t>
      </w:r>
      <w:r w:rsidRPr="00A07022">
        <w:rPr>
          <w:rFonts w:cs="Calibri"/>
          <w:noProof/>
        </w:rPr>
        <w:t xml:space="preserve">, </w:t>
      </w:r>
      <w:r w:rsidRPr="00A07022">
        <w:rPr>
          <w:rFonts w:cs="Calibri"/>
          <w:i/>
          <w:iCs/>
          <w:noProof/>
        </w:rPr>
        <w:t>3</w:t>
      </w:r>
      <w:r w:rsidRPr="00A07022">
        <w:rPr>
          <w:rFonts w:cs="Calibri"/>
          <w:noProof/>
        </w:rPr>
        <w:t>(1), 115–148.</w:t>
      </w:r>
    </w:p>
    <w:p w:rsidR="00A07022" w:rsidRPr="00A07022" w:rsidRDefault="00A07022" w:rsidP="00A07022">
      <w:pPr>
        <w:widowControl w:val="0"/>
        <w:autoSpaceDE w:val="0"/>
        <w:autoSpaceDN w:val="0"/>
        <w:adjustRightInd w:val="0"/>
        <w:ind w:left="480" w:hanging="480"/>
        <w:jc w:val="both"/>
        <w:rPr>
          <w:rFonts w:cs="Calibri"/>
          <w:noProof/>
        </w:rPr>
      </w:pPr>
      <w:r w:rsidRPr="00A07022">
        <w:rPr>
          <w:rFonts w:cs="Calibri"/>
          <w:noProof/>
        </w:rPr>
        <w:t xml:space="preserve">Apalkova, V., Tsyganov, S., Chernytska, T., Meshko, N., &amp; Tsyganova, N. (2021). Evaluating the economic and ecological effects of investment projects: a new model and its application to smartphone manufacturing in Europe. </w:t>
      </w:r>
      <w:r w:rsidRPr="00A07022">
        <w:rPr>
          <w:rFonts w:cs="Calibri"/>
          <w:i/>
          <w:iCs/>
          <w:noProof/>
        </w:rPr>
        <w:t>Investment Management &amp; Financial Innovations</w:t>
      </w:r>
      <w:r w:rsidRPr="00A07022">
        <w:rPr>
          <w:rFonts w:cs="Calibri"/>
          <w:noProof/>
        </w:rPr>
        <w:t xml:space="preserve">, </w:t>
      </w:r>
      <w:r w:rsidRPr="00A07022">
        <w:rPr>
          <w:rFonts w:cs="Calibri"/>
          <w:i/>
          <w:iCs/>
          <w:noProof/>
        </w:rPr>
        <w:t>18</w:t>
      </w:r>
      <w:r w:rsidRPr="00A07022">
        <w:rPr>
          <w:rFonts w:cs="Calibri"/>
          <w:noProof/>
        </w:rPr>
        <w:t>(4), 252.</w:t>
      </w:r>
    </w:p>
    <w:p w:rsidR="00A07022" w:rsidRPr="00A07022" w:rsidRDefault="00A07022" w:rsidP="00A07022">
      <w:pPr>
        <w:widowControl w:val="0"/>
        <w:autoSpaceDE w:val="0"/>
        <w:autoSpaceDN w:val="0"/>
        <w:adjustRightInd w:val="0"/>
        <w:ind w:left="480" w:hanging="480"/>
        <w:jc w:val="both"/>
        <w:rPr>
          <w:rFonts w:cs="Calibri"/>
          <w:noProof/>
        </w:rPr>
      </w:pPr>
      <w:r w:rsidRPr="00A07022">
        <w:rPr>
          <w:rFonts w:cs="Calibri"/>
          <w:noProof/>
        </w:rPr>
        <w:t xml:space="preserve">Azid, T., Antonio, M. S., Kayani, Z., &amp; Mukhlisin, M. (2023). </w:t>
      </w:r>
      <w:r w:rsidRPr="00A07022">
        <w:rPr>
          <w:rFonts w:cs="Calibri"/>
          <w:i/>
          <w:iCs/>
          <w:noProof/>
        </w:rPr>
        <w:t>Islamic Economic Institutions in Indonesia: Are They Successful in Achieving the Maqasad-al-shari’ah</w:t>
      </w:r>
      <w:r w:rsidRPr="00A07022">
        <w:rPr>
          <w:rFonts w:cs="Calibri"/>
          <w:noProof/>
        </w:rPr>
        <w:t xml:space="preserve"> (Vol. 2). World Scientific.</w:t>
      </w:r>
    </w:p>
    <w:p w:rsidR="00A07022" w:rsidRPr="00A07022" w:rsidRDefault="00A07022" w:rsidP="00A07022">
      <w:pPr>
        <w:widowControl w:val="0"/>
        <w:autoSpaceDE w:val="0"/>
        <w:autoSpaceDN w:val="0"/>
        <w:adjustRightInd w:val="0"/>
        <w:ind w:left="480" w:hanging="480"/>
        <w:jc w:val="both"/>
        <w:rPr>
          <w:rFonts w:cs="Calibri"/>
          <w:noProof/>
        </w:rPr>
      </w:pPr>
      <w:r w:rsidRPr="00A07022">
        <w:rPr>
          <w:rFonts w:cs="Calibri"/>
          <w:noProof/>
        </w:rPr>
        <w:t xml:space="preserve">Bashir, F. M., &amp; Gorton, C. (2023). Comparative Analysis of Financial Performance: Conventional Banks vs. Sharia Banks. </w:t>
      </w:r>
      <w:r w:rsidRPr="00A07022">
        <w:rPr>
          <w:rFonts w:cs="Calibri"/>
          <w:i/>
          <w:iCs/>
          <w:noProof/>
        </w:rPr>
        <w:t>Indonesia Accounting Research Journal</w:t>
      </w:r>
      <w:r w:rsidRPr="00A07022">
        <w:rPr>
          <w:rFonts w:cs="Calibri"/>
          <w:noProof/>
        </w:rPr>
        <w:t xml:space="preserve">, </w:t>
      </w:r>
      <w:r w:rsidRPr="00A07022">
        <w:rPr>
          <w:rFonts w:cs="Calibri"/>
          <w:i/>
          <w:iCs/>
          <w:noProof/>
        </w:rPr>
        <w:t>11</w:t>
      </w:r>
      <w:r w:rsidRPr="00A07022">
        <w:rPr>
          <w:rFonts w:cs="Calibri"/>
          <w:noProof/>
        </w:rPr>
        <w:t>(1), 51–67.</w:t>
      </w:r>
    </w:p>
    <w:p w:rsidR="00A07022" w:rsidRPr="00A07022" w:rsidRDefault="00A07022" w:rsidP="00A07022">
      <w:pPr>
        <w:widowControl w:val="0"/>
        <w:autoSpaceDE w:val="0"/>
        <w:autoSpaceDN w:val="0"/>
        <w:adjustRightInd w:val="0"/>
        <w:ind w:left="480" w:hanging="480"/>
        <w:jc w:val="both"/>
        <w:rPr>
          <w:rFonts w:cs="Calibri"/>
          <w:noProof/>
        </w:rPr>
      </w:pPr>
      <w:r w:rsidRPr="00A07022">
        <w:rPr>
          <w:rFonts w:cs="Calibri"/>
          <w:noProof/>
        </w:rPr>
        <w:lastRenderedPageBreak/>
        <w:t xml:space="preserve">Burlando, A., Kuhn, M. A., &amp; Prina, S. (2024). Too fast, too furious? digital credit delivery speed and repayment rates. </w:t>
      </w:r>
      <w:r w:rsidRPr="00A07022">
        <w:rPr>
          <w:rFonts w:cs="Calibri"/>
          <w:i/>
          <w:iCs/>
          <w:noProof/>
        </w:rPr>
        <w:t>Journal of Development Economics</w:t>
      </w:r>
      <w:r w:rsidRPr="00A07022">
        <w:rPr>
          <w:rFonts w:cs="Calibri"/>
          <w:noProof/>
        </w:rPr>
        <w:t>, 103427.</w:t>
      </w:r>
    </w:p>
    <w:p w:rsidR="00A07022" w:rsidRPr="00A07022" w:rsidRDefault="00A07022" w:rsidP="00A07022">
      <w:pPr>
        <w:widowControl w:val="0"/>
        <w:autoSpaceDE w:val="0"/>
        <w:autoSpaceDN w:val="0"/>
        <w:adjustRightInd w:val="0"/>
        <w:ind w:left="480" w:hanging="480"/>
        <w:jc w:val="both"/>
        <w:rPr>
          <w:rFonts w:cs="Calibri"/>
          <w:noProof/>
        </w:rPr>
      </w:pPr>
      <w:r w:rsidRPr="00A07022">
        <w:rPr>
          <w:rFonts w:cs="Calibri"/>
          <w:noProof/>
        </w:rPr>
        <w:t xml:space="preserve">Ishak, M. S. I., &amp; Rahman, M. H. (2021). Equity-based Islamic crowdfunding in Malaysia: a potential application for mudharabah. </w:t>
      </w:r>
      <w:r w:rsidRPr="00A07022">
        <w:rPr>
          <w:rFonts w:cs="Calibri"/>
          <w:i/>
          <w:iCs/>
          <w:noProof/>
        </w:rPr>
        <w:t>Qualitative Research in Financial Markets</w:t>
      </w:r>
      <w:r w:rsidRPr="00A07022">
        <w:rPr>
          <w:rFonts w:cs="Calibri"/>
          <w:noProof/>
        </w:rPr>
        <w:t xml:space="preserve">, </w:t>
      </w:r>
      <w:r w:rsidRPr="00A07022">
        <w:rPr>
          <w:rFonts w:cs="Calibri"/>
          <w:i/>
          <w:iCs/>
          <w:noProof/>
        </w:rPr>
        <w:t>13</w:t>
      </w:r>
      <w:r w:rsidRPr="00A07022">
        <w:rPr>
          <w:rFonts w:cs="Calibri"/>
          <w:noProof/>
        </w:rPr>
        <w:t>(2), 183–198.</w:t>
      </w:r>
    </w:p>
    <w:p w:rsidR="00A07022" w:rsidRPr="00A07022" w:rsidRDefault="00A07022" w:rsidP="00A07022">
      <w:pPr>
        <w:widowControl w:val="0"/>
        <w:autoSpaceDE w:val="0"/>
        <w:autoSpaceDN w:val="0"/>
        <w:adjustRightInd w:val="0"/>
        <w:ind w:left="480" w:hanging="480"/>
        <w:jc w:val="both"/>
        <w:rPr>
          <w:rFonts w:cs="Calibri"/>
          <w:noProof/>
        </w:rPr>
      </w:pPr>
      <w:r w:rsidRPr="00A07022">
        <w:rPr>
          <w:rFonts w:cs="Calibri"/>
          <w:noProof/>
        </w:rPr>
        <w:t xml:space="preserve">Kamaldeen, O. (2024). </w:t>
      </w:r>
      <w:r w:rsidRPr="00A07022">
        <w:rPr>
          <w:rFonts w:cs="Calibri"/>
          <w:i/>
          <w:iCs/>
          <w:noProof/>
        </w:rPr>
        <w:t>Analyzing the Impact of Fintech on Operational Efficiency in African Islamic Banking</w:t>
      </w:r>
      <w:r w:rsidRPr="00A07022">
        <w:rPr>
          <w:rFonts w:cs="Calibri"/>
          <w:noProof/>
        </w:rPr>
        <w:t>.</w:t>
      </w:r>
    </w:p>
    <w:p w:rsidR="00A07022" w:rsidRPr="00A07022" w:rsidRDefault="00A07022" w:rsidP="00A07022">
      <w:pPr>
        <w:widowControl w:val="0"/>
        <w:autoSpaceDE w:val="0"/>
        <w:autoSpaceDN w:val="0"/>
        <w:adjustRightInd w:val="0"/>
        <w:ind w:left="480" w:hanging="480"/>
        <w:jc w:val="both"/>
        <w:rPr>
          <w:rFonts w:cs="Calibri"/>
          <w:noProof/>
        </w:rPr>
      </w:pPr>
      <w:r w:rsidRPr="00A07022">
        <w:rPr>
          <w:rFonts w:cs="Calibri"/>
          <w:noProof/>
        </w:rPr>
        <w:t xml:space="preserve">Kharisma, D. B. (2021). Urgency of financial technology (Fintech) laws in Indonesia. </w:t>
      </w:r>
      <w:r w:rsidRPr="00A07022">
        <w:rPr>
          <w:rFonts w:cs="Calibri"/>
          <w:i/>
          <w:iCs/>
          <w:noProof/>
        </w:rPr>
        <w:t>International Journal of Law and Management</w:t>
      </w:r>
      <w:r w:rsidRPr="00A07022">
        <w:rPr>
          <w:rFonts w:cs="Calibri"/>
          <w:noProof/>
        </w:rPr>
        <w:t xml:space="preserve">, </w:t>
      </w:r>
      <w:r w:rsidRPr="00A07022">
        <w:rPr>
          <w:rFonts w:cs="Calibri"/>
          <w:i/>
          <w:iCs/>
          <w:noProof/>
        </w:rPr>
        <w:t>63</w:t>
      </w:r>
      <w:r w:rsidRPr="00A07022">
        <w:rPr>
          <w:rFonts w:cs="Calibri"/>
          <w:noProof/>
        </w:rPr>
        <w:t>(3), 320–331.</w:t>
      </w:r>
    </w:p>
    <w:p w:rsidR="00A07022" w:rsidRPr="00A07022" w:rsidRDefault="00A07022" w:rsidP="00A07022">
      <w:pPr>
        <w:widowControl w:val="0"/>
        <w:autoSpaceDE w:val="0"/>
        <w:autoSpaceDN w:val="0"/>
        <w:adjustRightInd w:val="0"/>
        <w:ind w:left="480" w:hanging="480"/>
        <w:jc w:val="both"/>
        <w:rPr>
          <w:rFonts w:cs="Calibri"/>
          <w:noProof/>
        </w:rPr>
      </w:pPr>
      <w:r w:rsidRPr="00A07022">
        <w:rPr>
          <w:rFonts w:cs="Calibri"/>
          <w:noProof/>
        </w:rPr>
        <w:t xml:space="preserve">Khidirov, N. G. (2021). Mechanisms and methods of financing enterprise investment projects. </w:t>
      </w:r>
      <w:r w:rsidRPr="00A07022">
        <w:rPr>
          <w:rFonts w:cs="Calibri"/>
          <w:i/>
          <w:iCs/>
          <w:noProof/>
        </w:rPr>
        <w:t>Journal of Economics, Finance and Management Studies</w:t>
      </w:r>
      <w:r w:rsidRPr="00A07022">
        <w:rPr>
          <w:rFonts w:cs="Calibri"/>
          <w:noProof/>
        </w:rPr>
        <w:t xml:space="preserve">, </w:t>
      </w:r>
      <w:r w:rsidRPr="00A07022">
        <w:rPr>
          <w:rFonts w:cs="Calibri"/>
          <w:i/>
          <w:iCs/>
          <w:noProof/>
        </w:rPr>
        <w:t>4</w:t>
      </w:r>
      <w:r w:rsidRPr="00A07022">
        <w:rPr>
          <w:rFonts w:cs="Calibri"/>
          <w:noProof/>
        </w:rPr>
        <w:t>(05), 475–482.</w:t>
      </w:r>
    </w:p>
    <w:p w:rsidR="00A07022" w:rsidRPr="00A07022" w:rsidRDefault="00A07022" w:rsidP="00A07022">
      <w:pPr>
        <w:widowControl w:val="0"/>
        <w:autoSpaceDE w:val="0"/>
        <w:autoSpaceDN w:val="0"/>
        <w:adjustRightInd w:val="0"/>
        <w:ind w:left="480" w:hanging="480"/>
        <w:jc w:val="both"/>
        <w:rPr>
          <w:rFonts w:cs="Calibri"/>
          <w:noProof/>
        </w:rPr>
      </w:pPr>
      <w:r w:rsidRPr="00A07022">
        <w:rPr>
          <w:rFonts w:cs="Calibri"/>
          <w:noProof/>
        </w:rPr>
        <w:t xml:space="preserve">Kılıç, G., &amp; Türkan, Y. (2023). The Emergence of Islamic Fintech and Its Applications. </w:t>
      </w:r>
      <w:r w:rsidRPr="00A07022">
        <w:rPr>
          <w:rFonts w:cs="Calibri"/>
          <w:i/>
          <w:iCs/>
          <w:noProof/>
        </w:rPr>
        <w:t>International Journal of Islamic Economics and Finance Studies</w:t>
      </w:r>
      <w:r w:rsidRPr="00A07022">
        <w:rPr>
          <w:rFonts w:cs="Calibri"/>
          <w:noProof/>
        </w:rPr>
        <w:t xml:space="preserve">, </w:t>
      </w:r>
      <w:r w:rsidRPr="00A07022">
        <w:rPr>
          <w:rFonts w:cs="Calibri"/>
          <w:i/>
          <w:iCs/>
          <w:noProof/>
        </w:rPr>
        <w:t>9</w:t>
      </w:r>
      <w:r w:rsidRPr="00A07022">
        <w:rPr>
          <w:rFonts w:cs="Calibri"/>
          <w:noProof/>
        </w:rPr>
        <w:t>(2), 212–236.</w:t>
      </w:r>
    </w:p>
    <w:p w:rsidR="00A07022" w:rsidRPr="00A07022" w:rsidRDefault="00A07022" w:rsidP="00A07022">
      <w:pPr>
        <w:widowControl w:val="0"/>
        <w:autoSpaceDE w:val="0"/>
        <w:autoSpaceDN w:val="0"/>
        <w:adjustRightInd w:val="0"/>
        <w:ind w:left="480" w:hanging="480"/>
        <w:jc w:val="both"/>
        <w:rPr>
          <w:rFonts w:cs="Calibri"/>
          <w:noProof/>
        </w:rPr>
      </w:pPr>
      <w:r w:rsidRPr="00A07022">
        <w:rPr>
          <w:rFonts w:cs="Calibri"/>
          <w:noProof/>
        </w:rPr>
        <w:t xml:space="preserve">Lestari, D., &amp; Rahmanto, B. T. (2023). Fintech and its challenge for banking sector. </w:t>
      </w:r>
      <w:r w:rsidRPr="00A07022">
        <w:rPr>
          <w:rFonts w:cs="Calibri"/>
          <w:i/>
          <w:iCs/>
          <w:noProof/>
        </w:rPr>
        <w:t>Lestari, D., &amp; Rahmanto, BT (2021). Fintech and Its Challenge for Banking Sector. The Management Journal of BINANIAGA</w:t>
      </w:r>
      <w:r w:rsidRPr="00A07022">
        <w:rPr>
          <w:rFonts w:cs="Calibri"/>
          <w:noProof/>
        </w:rPr>
        <w:t xml:space="preserve">, </w:t>
      </w:r>
      <w:r w:rsidRPr="00A07022">
        <w:rPr>
          <w:rFonts w:cs="Calibri"/>
          <w:i/>
          <w:iCs/>
          <w:noProof/>
        </w:rPr>
        <w:t>6</w:t>
      </w:r>
      <w:r w:rsidRPr="00A07022">
        <w:rPr>
          <w:rFonts w:cs="Calibri"/>
          <w:noProof/>
        </w:rPr>
        <w:t>(01), 55–70.</w:t>
      </w:r>
    </w:p>
    <w:p w:rsidR="00A07022" w:rsidRPr="00A07022" w:rsidRDefault="00A07022" w:rsidP="00A07022">
      <w:pPr>
        <w:widowControl w:val="0"/>
        <w:autoSpaceDE w:val="0"/>
        <w:autoSpaceDN w:val="0"/>
        <w:adjustRightInd w:val="0"/>
        <w:ind w:left="480" w:hanging="480"/>
        <w:jc w:val="both"/>
        <w:rPr>
          <w:rFonts w:cs="Calibri"/>
          <w:noProof/>
        </w:rPr>
      </w:pPr>
      <w:r w:rsidRPr="00A07022">
        <w:rPr>
          <w:rFonts w:cs="Calibri"/>
          <w:noProof/>
        </w:rPr>
        <w:t xml:space="preserve">Ofir, M., &amp; Tzang, I. (2022). An Empirical View of Peer-to-Peer (P2P) Lending Platforms. </w:t>
      </w:r>
      <w:r w:rsidRPr="00A07022">
        <w:rPr>
          <w:rFonts w:cs="Calibri"/>
          <w:i/>
          <w:iCs/>
          <w:noProof/>
        </w:rPr>
        <w:t>Berkeley Bus. LJ</w:t>
      </w:r>
      <w:r w:rsidRPr="00A07022">
        <w:rPr>
          <w:rFonts w:cs="Calibri"/>
          <w:noProof/>
        </w:rPr>
        <w:t xml:space="preserve">, </w:t>
      </w:r>
      <w:r w:rsidRPr="00A07022">
        <w:rPr>
          <w:rFonts w:cs="Calibri"/>
          <w:i/>
          <w:iCs/>
          <w:noProof/>
        </w:rPr>
        <w:t>19</w:t>
      </w:r>
      <w:r w:rsidRPr="00A07022">
        <w:rPr>
          <w:rFonts w:cs="Calibri"/>
          <w:noProof/>
        </w:rPr>
        <w:t>, 175.</w:t>
      </w:r>
    </w:p>
    <w:p w:rsidR="00A07022" w:rsidRPr="00A07022" w:rsidRDefault="00A07022" w:rsidP="00A07022">
      <w:pPr>
        <w:widowControl w:val="0"/>
        <w:autoSpaceDE w:val="0"/>
        <w:autoSpaceDN w:val="0"/>
        <w:adjustRightInd w:val="0"/>
        <w:ind w:left="480" w:hanging="480"/>
        <w:jc w:val="both"/>
        <w:rPr>
          <w:rFonts w:cs="Calibri"/>
          <w:noProof/>
        </w:rPr>
      </w:pPr>
      <w:r w:rsidRPr="00A07022">
        <w:rPr>
          <w:rFonts w:cs="Calibri"/>
          <w:noProof/>
        </w:rPr>
        <w:t xml:space="preserve">Rabbani, M. R. (2022). Fintech innovations, scope, challenges, and implications in Islamic Finance: A systematic analysis. </w:t>
      </w:r>
      <w:r w:rsidRPr="00A07022">
        <w:rPr>
          <w:rFonts w:cs="Calibri"/>
          <w:i/>
          <w:iCs/>
          <w:noProof/>
        </w:rPr>
        <w:t>International Journal of Computing and Digital Systems</w:t>
      </w:r>
      <w:r w:rsidRPr="00A07022">
        <w:rPr>
          <w:rFonts w:cs="Calibri"/>
          <w:noProof/>
        </w:rPr>
        <w:t xml:space="preserve">, </w:t>
      </w:r>
      <w:r w:rsidRPr="00A07022">
        <w:rPr>
          <w:rFonts w:cs="Calibri"/>
          <w:i/>
          <w:iCs/>
          <w:noProof/>
        </w:rPr>
        <w:t>11</w:t>
      </w:r>
      <w:r w:rsidRPr="00A07022">
        <w:rPr>
          <w:rFonts w:cs="Calibri"/>
          <w:noProof/>
        </w:rPr>
        <w:t>(1), 1–28.</w:t>
      </w:r>
    </w:p>
    <w:p w:rsidR="00A07022" w:rsidRPr="00A07022" w:rsidRDefault="00A07022" w:rsidP="00A07022">
      <w:pPr>
        <w:widowControl w:val="0"/>
        <w:autoSpaceDE w:val="0"/>
        <w:autoSpaceDN w:val="0"/>
        <w:adjustRightInd w:val="0"/>
        <w:ind w:left="480" w:hanging="480"/>
        <w:jc w:val="both"/>
        <w:rPr>
          <w:rFonts w:cs="Calibri"/>
          <w:noProof/>
        </w:rPr>
      </w:pPr>
      <w:r w:rsidRPr="00A07022">
        <w:rPr>
          <w:rFonts w:cs="Calibri"/>
          <w:noProof/>
        </w:rPr>
        <w:t xml:space="preserve">Tsary, S. R., &amp; Dahlia, D. (2022). Existence of Financial Technology (Fintech) on the Role of Indonesian Society. </w:t>
      </w:r>
      <w:r w:rsidRPr="00A07022">
        <w:rPr>
          <w:rFonts w:cs="Calibri"/>
          <w:i/>
          <w:iCs/>
          <w:noProof/>
        </w:rPr>
        <w:t>International Journal of Multicultural and Multireligious Understanding</w:t>
      </w:r>
      <w:r w:rsidRPr="00A07022">
        <w:rPr>
          <w:rFonts w:cs="Calibri"/>
          <w:noProof/>
        </w:rPr>
        <w:t xml:space="preserve">, </w:t>
      </w:r>
      <w:r w:rsidRPr="00A07022">
        <w:rPr>
          <w:rFonts w:cs="Calibri"/>
          <w:i/>
          <w:iCs/>
          <w:noProof/>
        </w:rPr>
        <w:t>9</w:t>
      </w:r>
      <w:r w:rsidRPr="00A07022">
        <w:rPr>
          <w:rFonts w:cs="Calibri"/>
          <w:noProof/>
        </w:rPr>
        <w:t>(8), 89–98.</w:t>
      </w:r>
    </w:p>
    <w:p w:rsidR="006753A2" w:rsidRPr="00160070" w:rsidRDefault="006753A2" w:rsidP="00A07022">
      <w:pPr>
        <w:widowControl w:val="0"/>
        <w:autoSpaceDE w:val="0"/>
        <w:autoSpaceDN w:val="0"/>
        <w:adjustRightInd w:val="0"/>
        <w:ind w:left="480" w:hanging="480"/>
        <w:jc w:val="both"/>
        <w:rPr>
          <w:rFonts w:asciiTheme="minorHAnsi" w:hAnsiTheme="minorHAnsi" w:cstheme="minorHAnsi"/>
          <w:b/>
          <w:bCs/>
        </w:rPr>
      </w:pPr>
      <w:r>
        <w:rPr>
          <w:rFonts w:asciiTheme="minorHAnsi" w:hAnsiTheme="minorHAnsi" w:cstheme="minorHAnsi"/>
          <w:b/>
          <w:bCs/>
        </w:rPr>
        <w:fldChar w:fldCharType="end"/>
      </w:r>
    </w:p>
    <w:p w:rsidR="009D2EA3" w:rsidRPr="00160070" w:rsidRDefault="009D2EA3">
      <w:pPr>
        <w:ind w:firstLine="567"/>
        <w:jc w:val="center"/>
        <w:rPr>
          <w:rFonts w:asciiTheme="minorHAnsi" w:eastAsia="Times New Roman" w:hAnsiTheme="minorHAnsi" w:cstheme="minorHAnsi"/>
          <w:b/>
          <w:bCs/>
        </w:rPr>
      </w:pPr>
    </w:p>
    <w:p w:rsidR="00406B2C" w:rsidRPr="00160070" w:rsidRDefault="00406B2C">
      <w:pPr>
        <w:rPr>
          <w:rFonts w:asciiTheme="minorHAnsi" w:eastAsia="Times New Roman" w:hAnsiTheme="minorHAnsi" w:cstheme="minorHAnsi"/>
        </w:rPr>
      </w:pPr>
    </w:p>
    <w:p w:rsidR="00406B2C" w:rsidRPr="00160070" w:rsidRDefault="00406B2C">
      <w:pPr>
        <w:ind w:firstLine="567"/>
        <w:jc w:val="both"/>
        <w:rPr>
          <w:rFonts w:asciiTheme="minorHAnsi" w:hAnsiTheme="minorHAnsi" w:cstheme="minorHAnsi"/>
        </w:rPr>
      </w:pPr>
    </w:p>
    <w:sectPr w:rsidR="00406B2C" w:rsidRPr="00160070" w:rsidSect="0031396E">
      <w:type w:val="continuous"/>
      <w:pgSz w:w="11907" w:h="16840" w:code="9"/>
      <w:pgMar w:top="1134" w:right="1134" w:bottom="1134" w:left="1134"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3A2" w:rsidRDefault="008433A2" w:rsidP="00EC51E6">
      <w:r>
        <w:separator/>
      </w:r>
    </w:p>
  </w:endnote>
  <w:endnote w:type="continuationSeparator" w:id="0">
    <w:p w:rsidR="008433A2" w:rsidRDefault="008433A2" w:rsidP="00EC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3A2" w:rsidRDefault="008433A2" w:rsidP="00EC51E6">
      <w:r>
        <w:separator/>
      </w:r>
    </w:p>
  </w:footnote>
  <w:footnote w:type="continuationSeparator" w:id="0">
    <w:p w:rsidR="008433A2" w:rsidRDefault="008433A2" w:rsidP="00EC5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10646ECB"/>
    <w:multiLevelType w:val="hybridMultilevel"/>
    <w:tmpl w:val="627210DC"/>
    <w:lvl w:ilvl="0" w:tplc="C04A7246">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8B1377E"/>
    <w:multiLevelType w:val="hybridMultilevel"/>
    <w:tmpl w:val="25EE8E10"/>
    <w:lvl w:ilvl="0" w:tplc="C04A724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350B28CB"/>
    <w:multiLevelType w:val="hybridMultilevel"/>
    <w:tmpl w:val="48B6FAF4"/>
    <w:lvl w:ilvl="0" w:tplc="0421000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nsid w:val="35A778BD"/>
    <w:multiLevelType w:val="hybridMultilevel"/>
    <w:tmpl w:val="273C9F30"/>
    <w:lvl w:ilvl="0" w:tplc="6DAA968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461D1C"/>
    <w:multiLevelType w:val="hybridMultilevel"/>
    <w:tmpl w:val="E2207596"/>
    <w:lvl w:ilvl="0" w:tplc="C04A7246">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20D51A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
    <w:nsid w:val="620E11D2"/>
    <w:multiLevelType w:val="hybridMultilevel"/>
    <w:tmpl w:val="9FDAFC48"/>
    <w:lvl w:ilvl="0" w:tplc="C04A7246">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BBA4F1F"/>
    <w:multiLevelType w:val="hybridMultilevel"/>
    <w:tmpl w:val="5AB40E2E"/>
    <w:lvl w:ilvl="0" w:tplc="C04A72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0"/>
  </w:num>
  <w:num w:numId="3">
    <w:abstractNumId w:val="4"/>
  </w:num>
  <w:num w:numId="4">
    <w:abstractNumId w:val="8"/>
  </w:num>
  <w:num w:numId="5">
    <w:abstractNumId w:val="5"/>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B2C"/>
    <w:rsid w:val="000640B8"/>
    <w:rsid w:val="000D2F4A"/>
    <w:rsid w:val="000E2E03"/>
    <w:rsid w:val="00146637"/>
    <w:rsid w:val="001474C1"/>
    <w:rsid w:val="00160070"/>
    <w:rsid w:val="001E4B59"/>
    <w:rsid w:val="003062A1"/>
    <w:rsid w:val="0031396E"/>
    <w:rsid w:val="00356354"/>
    <w:rsid w:val="00402724"/>
    <w:rsid w:val="00406B2C"/>
    <w:rsid w:val="004522FC"/>
    <w:rsid w:val="004F4203"/>
    <w:rsid w:val="00510DD6"/>
    <w:rsid w:val="00520291"/>
    <w:rsid w:val="005A0ACB"/>
    <w:rsid w:val="005C1900"/>
    <w:rsid w:val="005F1304"/>
    <w:rsid w:val="006432C1"/>
    <w:rsid w:val="00646557"/>
    <w:rsid w:val="006601A1"/>
    <w:rsid w:val="006753A2"/>
    <w:rsid w:val="006D4FE1"/>
    <w:rsid w:val="00715940"/>
    <w:rsid w:val="00755A5D"/>
    <w:rsid w:val="007A0B4A"/>
    <w:rsid w:val="008433A2"/>
    <w:rsid w:val="00933945"/>
    <w:rsid w:val="009739E8"/>
    <w:rsid w:val="009D2EA3"/>
    <w:rsid w:val="009F5045"/>
    <w:rsid w:val="00A07022"/>
    <w:rsid w:val="00A405A8"/>
    <w:rsid w:val="00AB255E"/>
    <w:rsid w:val="00AE1C0D"/>
    <w:rsid w:val="00AF4BC8"/>
    <w:rsid w:val="00B01D2E"/>
    <w:rsid w:val="00B707B4"/>
    <w:rsid w:val="00B75DA3"/>
    <w:rsid w:val="00B97AAC"/>
    <w:rsid w:val="00C420C4"/>
    <w:rsid w:val="00CD468F"/>
    <w:rsid w:val="00D0225B"/>
    <w:rsid w:val="00D206E8"/>
    <w:rsid w:val="00D67618"/>
    <w:rsid w:val="00DA5261"/>
    <w:rsid w:val="00E90830"/>
    <w:rsid w:val="00EC51E6"/>
    <w:rsid w:val="00F134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W71References">
    <w:name w:val="JW_7.1_References"/>
    <w:basedOn w:val="Normal"/>
    <w:qFormat/>
    <w:rsid w:val="0031396E"/>
    <w:pPr>
      <w:widowControl w:val="0"/>
      <w:autoSpaceDE w:val="0"/>
      <w:autoSpaceDN w:val="0"/>
      <w:adjustRightInd w:val="0"/>
      <w:spacing w:line="240" w:lineRule="atLeast"/>
      <w:ind w:left="480" w:hanging="480"/>
      <w:jc w:val="both"/>
    </w:pPr>
    <w:rPr>
      <w:rFonts w:ascii="Palatino Linotype" w:hAnsi="Palatino Linotype" w:cs="Times New Roman"/>
      <w:noProof/>
      <w:sz w:val="18"/>
    </w:rPr>
  </w:style>
  <w:style w:type="paragraph" w:styleId="ListParagraph">
    <w:name w:val="List Paragraph"/>
    <w:basedOn w:val="Normal"/>
    <w:qFormat/>
    <w:rsid w:val="0031396E"/>
    <w:pPr>
      <w:ind w:left="720"/>
    </w:pPr>
    <w:rPr>
      <w:rFonts w:ascii="Times New Roman" w:eastAsia="SimSun" w:hAnsi="Times New Roman" w:cs="Times New Roman"/>
      <w:sz w:val="21"/>
    </w:rPr>
  </w:style>
  <w:style w:type="character" w:styleId="Hyperlink">
    <w:name w:val="Hyperlink"/>
    <w:basedOn w:val="DefaultParagraphFont"/>
    <w:rsid w:val="0031396E"/>
    <w:rPr>
      <w:rFonts w:ascii="Times New Roman" w:eastAsia="SimSun" w:hAnsi="Times New Roman" w:cs="Times New Roman"/>
      <w:color w:val="0563C1"/>
      <w:sz w:val="21"/>
      <w:u w:val="single"/>
    </w:rPr>
  </w:style>
  <w:style w:type="paragraph" w:styleId="BalloonText">
    <w:name w:val="Balloon Text"/>
    <w:basedOn w:val="Normal"/>
    <w:link w:val="BalloonTextChar"/>
    <w:uiPriority w:val="99"/>
    <w:semiHidden/>
    <w:unhideWhenUsed/>
    <w:rsid w:val="00A405A8"/>
    <w:rPr>
      <w:rFonts w:ascii="Tahoma" w:hAnsi="Tahoma" w:cs="Tahoma"/>
      <w:sz w:val="16"/>
      <w:szCs w:val="16"/>
    </w:rPr>
  </w:style>
  <w:style w:type="character" w:customStyle="1" w:styleId="BalloonTextChar">
    <w:name w:val="Balloon Text Char"/>
    <w:basedOn w:val="DefaultParagraphFont"/>
    <w:link w:val="BalloonText"/>
    <w:uiPriority w:val="99"/>
    <w:semiHidden/>
    <w:rsid w:val="00A405A8"/>
    <w:rPr>
      <w:rFonts w:ascii="Tahoma" w:hAnsi="Tahoma" w:cs="Tahoma"/>
      <w:sz w:val="16"/>
      <w:szCs w:val="16"/>
    </w:rPr>
  </w:style>
  <w:style w:type="character" w:styleId="CommentReference">
    <w:name w:val="annotation reference"/>
    <w:basedOn w:val="DefaultParagraphFont"/>
    <w:uiPriority w:val="99"/>
    <w:semiHidden/>
    <w:unhideWhenUsed/>
    <w:rsid w:val="00A405A8"/>
    <w:rPr>
      <w:sz w:val="16"/>
      <w:szCs w:val="16"/>
    </w:rPr>
  </w:style>
  <w:style w:type="paragraph" w:styleId="CommentText">
    <w:name w:val="annotation text"/>
    <w:basedOn w:val="Normal"/>
    <w:link w:val="CommentTextChar"/>
    <w:uiPriority w:val="99"/>
    <w:semiHidden/>
    <w:unhideWhenUsed/>
    <w:rsid w:val="00A405A8"/>
    <w:rPr>
      <w:sz w:val="20"/>
      <w:szCs w:val="20"/>
    </w:rPr>
  </w:style>
  <w:style w:type="character" w:customStyle="1" w:styleId="CommentTextChar">
    <w:name w:val="Comment Text Char"/>
    <w:basedOn w:val="DefaultParagraphFont"/>
    <w:link w:val="CommentText"/>
    <w:uiPriority w:val="99"/>
    <w:semiHidden/>
    <w:rsid w:val="00A405A8"/>
    <w:rPr>
      <w:sz w:val="20"/>
      <w:szCs w:val="20"/>
    </w:rPr>
  </w:style>
  <w:style w:type="paragraph" w:styleId="CommentSubject">
    <w:name w:val="annotation subject"/>
    <w:basedOn w:val="CommentText"/>
    <w:next w:val="CommentText"/>
    <w:link w:val="CommentSubjectChar"/>
    <w:uiPriority w:val="99"/>
    <w:semiHidden/>
    <w:unhideWhenUsed/>
    <w:rsid w:val="00A405A8"/>
    <w:rPr>
      <w:b/>
      <w:bCs/>
    </w:rPr>
  </w:style>
  <w:style w:type="character" w:customStyle="1" w:styleId="CommentSubjectChar">
    <w:name w:val="Comment Subject Char"/>
    <w:basedOn w:val="CommentTextChar"/>
    <w:link w:val="CommentSubject"/>
    <w:uiPriority w:val="99"/>
    <w:semiHidden/>
    <w:rsid w:val="00A405A8"/>
    <w:rPr>
      <w:b/>
      <w:bCs/>
      <w:sz w:val="20"/>
      <w:szCs w:val="20"/>
    </w:rPr>
  </w:style>
  <w:style w:type="paragraph" w:styleId="Header">
    <w:name w:val="header"/>
    <w:basedOn w:val="Normal"/>
    <w:link w:val="HeaderChar"/>
    <w:uiPriority w:val="99"/>
    <w:unhideWhenUsed/>
    <w:rsid w:val="00B75DA3"/>
    <w:pPr>
      <w:tabs>
        <w:tab w:val="center" w:pos="4680"/>
        <w:tab w:val="right" w:pos="9360"/>
      </w:tabs>
    </w:pPr>
  </w:style>
  <w:style w:type="character" w:customStyle="1" w:styleId="HeaderChar">
    <w:name w:val="Header Char"/>
    <w:basedOn w:val="DefaultParagraphFont"/>
    <w:link w:val="Header"/>
    <w:uiPriority w:val="99"/>
    <w:rsid w:val="00B75DA3"/>
  </w:style>
  <w:style w:type="paragraph" w:styleId="Footer">
    <w:name w:val="footer"/>
    <w:basedOn w:val="Normal"/>
    <w:link w:val="FooterChar"/>
    <w:uiPriority w:val="99"/>
    <w:unhideWhenUsed/>
    <w:rsid w:val="00B75DA3"/>
    <w:pPr>
      <w:tabs>
        <w:tab w:val="center" w:pos="4680"/>
        <w:tab w:val="right" w:pos="9360"/>
      </w:tabs>
    </w:pPr>
  </w:style>
  <w:style w:type="character" w:customStyle="1" w:styleId="FooterChar">
    <w:name w:val="Footer Char"/>
    <w:basedOn w:val="DefaultParagraphFont"/>
    <w:link w:val="Footer"/>
    <w:uiPriority w:val="99"/>
    <w:rsid w:val="00B75D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W71References">
    <w:name w:val="JW_7.1_References"/>
    <w:basedOn w:val="Normal"/>
    <w:qFormat/>
    <w:rsid w:val="0031396E"/>
    <w:pPr>
      <w:widowControl w:val="0"/>
      <w:autoSpaceDE w:val="0"/>
      <w:autoSpaceDN w:val="0"/>
      <w:adjustRightInd w:val="0"/>
      <w:spacing w:line="240" w:lineRule="atLeast"/>
      <w:ind w:left="480" w:hanging="480"/>
      <w:jc w:val="both"/>
    </w:pPr>
    <w:rPr>
      <w:rFonts w:ascii="Palatino Linotype" w:hAnsi="Palatino Linotype" w:cs="Times New Roman"/>
      <w:noProof/>
      <w:sz w:val="18"/>
    </w:rPr>
  </w:style>
  <w:style w:type="paragraph" w:styleId="ListParagraph">
    <w:name w:val="List Paragraph"/>
    <w:basedOn w:val="Normal"/>
    <w:qFormat/>
    <w:rsid w:val="0031396E"/>
    <w:pPr>
      <w:ind w:left="720"/>
    </w:pPr>
    <w:rPr>
      <w:rFonts w:ascii="Times New Roman" w:eastAsia="SimSun" w:hAnsi="Times New Roman" w:cs="Times New Roman"/>
      <w:sz w:val="21"/>
    </w:rPr>
  </w:style>
  <w:style w:type="character" w:styleId="Hyperlink">
    <w:name w:val="Hyperlink"/>
    <w:basedOn w:val="DefaultParagraphFont"/>
    <w:rsid w:val="0031396E"/>
    <w:rPr>
      <w:rFonts w:ascii="Times New Roman" w:eastAsia="SimSun" w:hAnsi="Times New Roman" w:cs="Times New Roman"/>
      <w:color w:val="0563C1"/>
      <w:sz w:val="21"/>
      <w:u w:val="single"/>
    </w:rPr>
  </w:style>
  <w:style w:type="paragraph" w:styleId="BalloonText">
    <w:name w:val="Balloon Text"/>
    <w:basedOn w:val="Normal"/>
    <w:link w:val="BalloonTextChar"/>
    <w:uiPriority w:val="99"/>
    <w:semiHidden/>
    <w:unhideWhenUsed/>
    <w:rsid w:val="00A405A8"/>
    <w:rPr>
      <w:rFonts w:ascii="Tahoma" w:hAnsi="Tahoma" w:cs="Tahoma"/>
      <w:sz w:val="16"/>
      <w:szCs w:val="16"/>
    </w:rPr>
  </w:style>
  <w:style w:type="character" w:customStyle="1" w:styleId="BalloonTextChar">
    <w:name w:val="Balloon Text Char"/>
    <w:basedOn w:val="DefaultParagraphFont"/>
    <w:link w:val="BalloonText"/>
    <w:uiPriority w:val="99"/>
    <w:semiHidden/>
    <w:rsid w:val="00A405A8"/>
    <w:rPr>
      <w:rFonts w:ascii="Tahoma" w:hAnsi="Tahoma" w:cs="Tahoma"/>
      <w:sz w:val="16"/>
      <w:szCs w:val="16"/>
    </w:rPr>
  </w:style>
  <w:style w:type="character" w:styleId="CommentReference">
    <w:name w:val="annotation reference"/>
    <w:basedOn w:val="DefaultParagraphFont"/>
    <w:uiPriority w:val="99"/>
    <w:semiHidden/>
    <w:unhideWhenUsed/>
    <w:rsid w:val="00A405A8"/>
    <w:rPr>
      <w:sz w:val="16"/>
      <w:szCs w:val="16"/>
    </w:rPr>
  </w:style>
  <w:style w:type="paragraph" w:styleId="CommentText">
    <w:name w:val="annotation text"/>
    <w:basedOn w:val="Normal"/>
    <w:link w:val="CommentTextChar"/>
    <w:uiPriority w:val="99"/>
    <w:semiHidden/>
    <w:unhideWhenUsed/>
    <w:rsid w:val="00A405A8"/>
    <w:rPr>
      <w:sz w:val="20"/>
      <w:szCs w:val="20"/>
    </w:rPr>
  </w:style>
  <w:style w:type="character" w:customStyle="1" w:styleId="CommentTextChar">
    <w:name w:val="Comment Text Char"/>
    <w:basedOn w:val="DefaultParagraphFont"/>
    <w:link w:val="CommentText"/>
    <w:uiPriority w:val="99"/>
    <w:semiHidden/>
    <w:rsid w:val="00A405A8"/>
    <w:rPr>
      <w:sz w:val="20"/>
      <w:szCs w:val="20"/>
    </w:rPr>
  </w:style>
  <w:style w:type="paragraph" w:styleId="CommentSubject">
    <w:name w:val="annotation subject"/>
    <w:basedOn w:val="CommentText"/>
    <w:next w:val="CommentText"/>
    <w:link w:val="CommentSubjectChar"/>
    <w:uiPriority w:val="99"/>
    <w:semiHidden/>
    <w:unhideWhenUsed/>
    <w:rsid w:val="00A405A8"/>
    <w:rPr>
      <w:b/>
      <w:bCs/>
    </w:rPr>
  </w:style>
  <w:style w:type="character" w:customStyle="1" w:styleId="CommentSubjectChar">
    <w:name w:val="Comment Subject Char"/>
    <w:basedOn w:val="CommentTextChar"/>
    <w:link w:val="CommentSubject"/>
    <w:uiPriority w:val="99"/>
    <w:semiHidden/>
    <w:rsid w:val="00A405A8"/>
    <w:rPr>
      <w:b/>
      <w:bCs/>
      <w:sz w:val="20"/>
      <w:szCs w:val="20"/>
    </w:rPr>
  </w:style>
  <w:style w:type="paragraph" w:styleId="Header">
    <w:name w:val="header"/>
    <w:basedOn w:val="Normal"/>
    <w:link w:val="HeaderChar"/>
    <w:uiPriority w:val="99"/>
    <w:unhideWhenUsed/>
    <w:rsid w:val="00B75DA3"/>
    <w:pPr>
      <w:tabs>
        <w:tab w:val="center" w:pos="4680"/>
        <w:tab w:val="right" w:pos="9360"/>
      </w:tabs>
    </w:pPr>
  </w:style>
  <w:style w:type="character" w:customStyle="1" w:styleId="HeaderChar">
    <w:name w:val="Header Char"/>
    <w:basedOn w:val="DefaultParagraphFont"/>
    <w:link w:val="Header"/>
    <w:uiPriority w:val="99"/>
    <w:rsid w:val="00B75DA3"/>
  </w:style>
  <w:style w:type="paragraph" w:styleId="Footer">
    <w:name w:val="footer"/>
    <w:basedOn w:val="Normal"/>
    <w:link w:val="FooterChar"/>
    <w:uiPriority w:val="99"/>
    <w:unhideWhenUsed/>
    <w:rsid w:val="00B75DA3"/>
    <w:pPr>
      <w:tabs>
        <w:tab w:val="center" w:pos="4680"/>
        <w:tab w:val="right" w:pos="9360"/>
      </w:tabs>
    </w:pPr>
  </w:style>
  <w:style w:type="character" w:customStyle="1" w:styleId="FooterChar">
    <w:name w:val="Footer Char"/>
    <w:basedOn w:val="DefaultParagraphFont"/>
    <w:link w:val="Footer"/>
    <w:uiPriority w:val="99"/>
    <w:rsid w:val="00B75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49719">
      <w:bodyDiv w:val="1"/>
      <w:marLeft w:val="0"/>
      <w:marRight w:val="0"/>
      <w:marTop w:val="0"/>
      <w:marBottom w:val="0"/>
      <w:divBdr>
        <w:top w:val="none" w:sz="0" w:space="0" w:color="auto"/>
        <w:left w:val="none" w:sz="0" w:space="0" w:color="auto"/>
        <w:bottom w:val="none" w:sz="0" w:space="0" w:color="auto"/>
        <w:right w:val="none" w:sz="0" w:space="0" w:color="auto"/>
      </w:divBdr>
    </w:div>
    <w:div w:id="724915677">
      <w:bodyDiv w:val="1"/>
      <w:marLeft w:val="0"/>
      <w:marRight w:val="0"/>
      <w:marTop w:val="0"/>
      <w:marBottom w:val="0"/>
      <w:divBdr>
        <w:top w:val="none" w:sz="0" w:space="0" w:color="auto"/>
        <w:left w:val="none" w:sz="0" w:space="0" w:color="auto"/>
        <w:bottom w:val="none" w:sz="0" w:space="0" w:color="auto"/>
        <w:right w:val="none" w:sz="0" w:space="0" w:color="auto"/>
      </w:divBdr>
    </w:div>
    <w:div w:id="1141731615">
      <w:bodyDiv w:val="1"/>
      <w:marLeft w:val="0"/>
      <w:marRight w:val="0"/>
      <w:marTop w:val="0"/>
      <w:marBottom w:val="0"/>
      <w:divBdr>
        <w:top w:val="none" w:sz="0" w:space="0" w:color="auto"/>
        <w:left w:val="none" w:sz="0" w:space="0" w:color="auto"/>
        <w:bottom w:val="none" w:sz="0" w:space="0" w:color="auto"/>
        <w:right w:val="none" w:sz="0" w:space="0" w:color="auto"/>
      </w:divBdr>
    </w:div>
    <w:div w:id="1280453425">
      <w:bodyDiv w:val="1"/>
      <w:marLeft w:val="0"/>
      <w:marRight w:val="0"/>
      <w:marTop w:val="0"/>
      <w:marBottom w:val="0"/>
      <w:divBdr>
        <w:top w:val="none" w:sz="0" w:space="0" w:color="auto"/>
        <w:left w:val="none" w:sz="0" w:space="0" w:color="auto"/>
        <w:bottom w:val="none" w:sz="0" w:space="0" w:color="auto"/>
        <w:right w:val="none" w:sz="0" w:space="0" w:color="auto"/>
      </w:divBdr>
    </w:div>
    <w:div w:id="1842042903">
      <w:bodyDiv w:val="1"/>
      <w:marLeft w:val="0"/>
      <w:marRight w:val="0"/>
      <w:marTop w:val="0"/>
      <w:marBottom w:val="0"/>
      <w:divBdr>
        <w:top w:val="none" w:sz="0" w:space="0" w:color="auto"/>
        <w:left w:val="none" w:sz="0" w:space="0" w:color="auto"/>
        <w:bottom w:val="none" w:sz="0" w:space="0" w:color="auto"/>
        <w:right w:val="none" w:sz="0" w:space="0" w:color="auto"/>
      </w:divBdr>
    </w:div>
    <w:div w:id="2135709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F82917B-C059-45D0-A080-E649BD3E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4931</Words>
  <Characters>28110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 Fariah</dc:creator>
  <cp:lastModifiedBy>LENOVO 300E</cp:lastModifiedBy>
  <cp:revision>6</cp:revision>
  <dcterms:created xsi:type="dcterms:W3CDTF">2025-01-10T07:26:00Z</dcterms:created>
  <dcterms:modified xsi:type="dcterms:W3CDTF">2025-02-17T03:03:00Z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a353da305aee9782c8228ee3920a2c7df900608db2bca01d7ab71ef2a5eee7ca</vt:lpwstr>
  </property>
  <property fmtid="{D5CDD505-2E9C-101B-9397-08002B2CF9AE}" pid="3" name="ICV">
    <vt:lpwstr>fb8d292a304a4a54b1a3812137a69d2b</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13f885b4-a341-3489-91f8-8df67b679637</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